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77" w:rsidRPr="00771B25" w:rsidRDefault="001B5E54" w:rsidP="001B5E54">
      <w:pPr>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60BA30D2" wp14:editId="61EFC606">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863EE0">
        <w:rPr>
          <w:rFonts w:cs="Times New Roman"/>
          <w:b/>
          <w:sz w:val="32"/>
          <w:szCs w:val="32"/>
        </w:rPr>
        <w:t xml:space="preserve">Uttanríkis- og vinnumálaráðið </w:t>
      </w:r>
    </w:p>
    <w:p w:rsidR="008B219C" w:rsidRPr="00771B25" w:rsidRDefault="008B219C">
      <w:pPr>
        <w:rPr>
          <w:rStyle w:val="TypografiFed"/>
          <w:rFonts w:cs="Times New Roman"/>
        </w:rPr>
      </w:pPr>
    </w:p>
    <w:p w:rsidR="00464E42" w:rsidRPr="00771B25" w:rsidRDefault="00464E42">
      <w:pPr>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4F0F50">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E81B71" w:rsidP="00863EE0">
            <w:pPr>
              <w:tabs>
                <w:tab w:val="center" w:pos="4513"/>
                <w:tab w:val="right" w:pos="9026"/>
              </w:tabs>
              <w:rPr>
                <w:rFonts w:eastAsia="Calibri" w:cs="Times New Roman"/>
              </w:rPr>
            </w:pPr>
            <w:r>
              <w:rPr>
                <w:rFonts w:eastAsia="Calibri" w:cs="Times New Roman"/>
              </w:rPr>
              <w:t>6</w:t>
            </w:r>
            <w:bookmarkStart w:id="0" w:name="_GoBack"/>
            <w:bookmarkEnd w:id="0"/>
            <w:r w:rsidR="00BD2D5E">
              <w:rPr>
                <w:rFonts w:eastAsia="Calibri" w:cs="Times New Roman"/>
              </w:rPr>
              <w:t>. apríl</w:t>
            </w:r>
            <w:r w:rsidR="00863EE0">
              <w:rPr>
                <w:rFonts w:eastAsia="Calibri" w:cs="Times New Roman"/>
              </w:rPr>
              <w:t xml:space="preserve"> 2017</w:t>
            </w:r>
          </w:p>
        </w:tc>
      </w:tr>
      <w:tr w:rsidR="00464E42" w:rsidRPr="00771B25" w:rsidTr="004F0F50">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E81B71" w:rsidP="00464E42">
            <w:pPr>
              <w:tabs>
                <w:tab w:val="center" w:pos="4513"/>
                <w:tab w:val="right" w:pos="9026"/>
              </w:tabs>
              <w:rPr>
                <w:rFonts w:eastAsia="Calibri" w:cs="Times New Roman"/>
              </w:rPr>
            </w:pPr>
            <w:r>
              <w:rPr>
                <w:rFonts w:eastAsia="Calibri" w:cs="Times New Roman"/>
              </w:rPr>
              <w:t>17/00195</w:t>
            </w:r>
          </w:p>
        </w:tc>
      </w:tr>
      <w:tr w:rsidR="00464E42" w:rsidRPr="00771B25" w:rsidTr="004F0F50">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Málsviðgjørt:</w:t>
            </w:r>
          </w:p>
        </w:tc>
        <w:tc>
          <w:tcPr>
            <w:tcW w:w="2222" w:type="dxa"/>
          </w:tcPr>
          <w:p w:rsidR="00464E42" w:rsidRPr="00771B25" w:rsidRDefault="00863EE0" w:rsidP="00863EE0">
            <w:pPr>
              <w:tabs>
                <w:tab w:val="center" w:pos="4513"/>
                <w:tab w:val="right" w:pos="9026"/>
              </w:tabs>
              <w:rPr>
                <w:rFonts w:eastAsia="Calibri" w:cs="Times New Roman"/>
              </w:rPr>
            </w:pPr>
            <w:r>
              <w:rPr>
                <w:rFonts w:eastAsia="Calibri" w:cs="Times New Roman"/>
              </w:rPr>
              <w:t>SPS</w:t>
            </w:r>
          </w:p>
        </w:tc>
      </w:tr>
    </w:tbl>
    <w:p w:rsidR="00464E42" w:rsidRPr="00771B25" w:rsidRDefault="00777DE1" w:rsidP="00777DE1">
      <w:pPr>
        <w:tabs>
          <w:tab w:val="left" w:pos="6379"/>
        </w:tabs>
        <w:rPr>
          <w:rFonts w:cs="Times New Roman"/>
          <w:szCs w:val="24"/>
        </w:rPr>
      </w:pPr>
      <w:r>
        <w:rPr>
          <w:rFonts w:cs="Times New Roman"/>
          <w:szCs w:val="24"/>
        </w:rPr>
        <w:tab/>
      </w:r>
    </w:p>
    <w:p w:rsidR="009C3E65" w:rsidRPr="00771B25" w:rsidRDefault="009C3E65" w:rsidP="008C5493">
      <w:pPr>
        <w:rPr>
          <w:rStyle w:val="TypografiFed"/>
          <w:rFonts w:cs="Times New Roman"/>
        </w:rPr>
      </w:pPr>
    </w:p>
    <w:p w:rsidR="008C5493" w:rsidRPr="004F0F50" w:rsidRDefault="008C5493" w:rsidP="004F0F50">
      <w:pPr>
        <w:pStyle w:val="Sidefod"/>
        <w:jc w:val="center"/>
        <w:rPr>
          <w:rFonts w:cs="Times New Roman"/>
        </w:rPr>
      </w:pPr>
      <w:r w:rsidRPr="00771B25">
        <w:rPr>
          <w:rFonts w:cs="Times New Roman"/>
          <w:b/>
        </w:rPr>
        <w:t>Løgtingsmál nr. xx/201</w:t>
      </w:r>
      <w:r w:rsidR="006C7B64">
        <w:rPr>
          <w:rFonts w:cs="Times New Roman"/>
          <w:b/>
        </w:rPr>
        <w:t>6</w:t>
      </w:r>
      <w:r w:rsidRPr="00771B25">
        <w:rPr>
          <w:rFonts w:cs="Times New Roman"/>
          <w:b/>
        </w:rPr>
        <w:t xml:space="preserve">: Uppskot til </w:t>
      </w:r>
      <w:r w:rsidR="00FA4D67">
        <w:rPr>
          <w:rFonts w:cs="Times New Roman"/>
          <w:b/>
        </w:rPr>
        <w:t xml:space="preserve">broyting í </w:t>
      </w:r>
      <w:r w:rsidRPr="00771B25">
        <w:rPr>
          <w:rFonts w:cs="Times New Roman"/>
          <w:b/>
        </w:rPr>
        <w:t xml:space="preserve">løgtingslóg um </w:t>
      </w:r>
      <w:r w:rsidR="004F0F50" w:rsidRPr="004F0F50">
        <w:rPr>
          <w:rFonts w:cs="Times New Roman"/>
          <w:b/>
        </w:rPr>
        <w:t xml:space="preserve">kongligari fyriskipan um ígildissetan fyri Føroyar av “lov om visse erhvervsdrivende virksomheder” </w:t>
      </w:r>
      <w:r w:rsidR="004F0F50" w:rsidRPr="004F0F50">
        <w:rPr>
          <w:rFonts w:cs="Times New Roman"/>
        </w:rPr>
        <w:t>(Vinnufyritøkulógin)</w:t>
      </w:r>
    </w:p>
    <w:p w:rsidR="00D354E5" w:rsidRPr="00771B25" w:rsidRDefault="00D354E5" w:rsidP="008C5493">
      <w:pPr>
        <w:rPr>
          <w:rStyle w:val="TypografiFed"/>
          <w:rFonts w:cs="Times New Roman"/>
        </w:rPr>
      </w:pPr>
    </w:p>
    <w:p w:rsidR="009C3E65" w:rsidRPr="00771B25" w:rsidRDefault="009C3E65" w:rsidP="008C5493">
      <w:pPr>
        <w:rPr>
          <w:rStyle w:val="TypografiFed"/>
          <w:rFonts w:cs="Times New Roman"/>
        </w:rPr>
      </w:pPr>
    </w:p>
    <w:p w:rsidR="00D354E5" w:rsidRPr="00771B25" w:rsidRDefault="00D354E5" w:rsidP="00D354E5">
      <w:pPr>
        <w:jc w:val="center"/>
        <w:rPr>
          <w:rFonts w:cs="Times New Roman"/>
          <w:b/>
          <w:szCs w:val="24"/>
        </w:rPr>
      </w:pPr>
      <w:r w:rsidRPr="00771B25">
        <w:rPr>
          <w:rFonts w:cs="Times New Roman"/>
          <w:b/>
          <w:szCs w:val="24"/>
        </w:rPr>
        <w:t>Uppskot til</w:t>
      </w:r>
    </w:p>
    <w:p w:rsidR="00D354E5" w:rsidRDefault="00D354E5" w:rsidP="00861768">
      <w:pPr>
        <w:spacing w:after="0"/>
        <w:jc w:val="center"/>
        <w:rPr>
          <w:rFonts w:cs="Times New Roman"/>
          <w:b/>
          <w:szCs w:val="24"/>
        </w:rPr>
      </w:pPr>
      <w:r w:rsidRPr="00771B25">
        <w:rPr>
          <w:rFonts w:cs="Times New Roman"/>
          <w:b/>
          <w:szCs w:val="24"/>
        </w:rPr>
        <w:t>Løgtingslóg um</w:t>
      </w:r>
      <w:r w:rsidR="00861768">
        <w:rPr>
          <w:rFonts w:cs="Times New Roman"/>
          <w:b/>
          <w:szCs w:val="24"/>
        </w:rPr>
        <w:t xml:space="preserve"> broyting í </w:t>
      </w:r>
      <w:r w:rsidR="004F0F50" w:rsidRPr="004F0F50">
        <w:rPr>
          <w:rFonts w:cs="Times New Roman"/>
          <w:b/>
          <w:szCs w:val="24"/>
        </w:rPr>
        <w:t xml:space="preserve">kongligari fyriskipan um ígildissetan fyri Føroyar av “lov om visse erhvervsdrivende virksomheder” </w:t>
      </w:r>
      <w:r w:rsidR="004F0F50" w:rsidRPr="004F0F50">
        <w:rPr>
          <w:rFonts w:cs="Times New Roman"/>
          <w:szCs w:val="24"/>
        </w:rPr>
        <w:t>(Vinnufyritøkulógin)</w:t>
      </w:r>
    </w:p>
    <w:p w:rsidR="00A047C8" w:rsidRPr="00A047C8" w:rsidRDefault="004F0F50" w:rsidP="00861768">
      <w:pPr>
        <w:spacing w:after="0"/>
        <w:jc w:val="center"/>
        <w:rPr>
          <w:rFonts w:cs="Times New Roman"/>
          <w:szCs w:val="24"/>
        </w:rPr>
      </w:pPr>
      <w:r w:rsidRPr="004F0F50">
        <w:rPr>
          <w:rFonts w:cs="Times New Roman"/>
          <w:szCs w:val="24"/>
        </w:rPr>
        <w:t>(Krav um at peningastovnsvirksemi og tryggingarvirksemi verður skipað í ymiskum haldf</w:t>
      </w:r>
      <w:r>
        <w:rPr>
          <w:rFonts w:cs="Times New Roman"/>
          <w:szCs w:val="24"/>
        </w:rPr>
        <w:t xml:space="preserve">yritøkum, </w:t>
      </w:r>
      <w:r w:rsidRPr="004F0F50">
        <w:rPr>
          <w:rFonts w:cs="Times New Roman"/>
          <w:szCs w:val="24"/>
        </w:rPr>
        <w:t>forboð móti lánsfígging</w:t>
      </w:r>
      <w:r>
        <w:rPr>
          <w:rFonts w:cs="Times New Roman"/>
          <w:szCs w:val="24"/>
        </w:rPr>
        <w:t xml:space="preserve"> o.a. </w:t>
      </w:r>
      <w:r w:rsidRPr="004F0F50">
        <w:rPr>
          <w:rFonts w:cs="Times New Roman"/>
          <w:szCs w:val="24"/>
        </w:rPr>
        <w:t>av innskoti í undirliggjandi feløg</w:t>
      </w:r>
      <w:r>
        <w:rPr>
          <w:rFonts w:cs="Times New Roman"/>
          <w:szCs w:val="24"/>
        </w:rPr>
        <w:t>, forboð fyri persónsamanfalli og kollektiv førleikakrøv</w:t>
      </w:r>
      <w:r w:rsidRPr="004F0F50">
        <w:rPr>
          <w:rFonts w:cs="Times New Roman"/>
          <w:szCs w:val="24"/>
        </w:rPr>
        <w:t xml:space="preserve">) </w:t>
      </w:r>
    </w:p>
    <w:p w:rsidR="00086403" w:rsidRPr="00771B25" w:rsidRDefault="00086403" w:rsidP="00D354E5">
      <w:pPr>
        <w:spacing w:after="0"/>
        <w:jc w:val="center"/>
        <w:rPr>
          <w:rFonts w:cs="Times New Roman"/>
          <w:b/>
          <w:szCs w:val="24"/>
        </w:rPr>
      </w:pPr>
    </w:p>
    <w:p w:rsidR="00086403" w:rsidRPr="00771B25" w:rsidRDefault="00086403" w:rsidP="001C2F55">
      <w:pPr>
        <w:rPr>
          <w:rStyle w:val="TypografiKursiv"/>
          <w:rFonts w:cs="Times New Roman"/>
        </w:rPr>
      </w:pPr>
    </w:p>
    <w:p w:rsidR="00834A49" w:rsidRPr="00771B25" w:rsidRDefault="00834A49" w:rsidP="00086403">
      <w:pPr>
        <w:spacing w:after="0"/>
        <w:rPr>
          <w:rFonts w:cs="Times New Roman"/>
          <w:b/>
          <w:szCs w:val="24"/>
        </w:rPr>
      </w:pPr>
    </w:p>
    <w:p w:rsidR="004C1845" w:rsidRPr="00771B25" w:rsidRDefault="004C1845" w:rsidP="00086403">
      <w:pPr>
        <w:spacing w:after="0"/>
        <w:rPr>
          <w:rFonts w:cs="Times New Roman"/>
          <w:b/>
          <w:szCs w:val="24"/>
        </w:rPr>
        <w:sectPr w:rsidR="004C1845" w:rsidRPr="00771B25" w:rsidSect="00D229E8">
          <w:headerReference w:type="even" r:id="rId9"/>
          <w:headerReference w:type="default" r:id="rId10"/>
          <w:footerReference w:type="default" r:id="rId11"/>
          <w:pgSz w:w="11906" w:h="16838"/>
          <w:pgMar w:top="1440" w:right="1440" w:bottom="1440" w:left="1440" w:header="709" w:footer="709" w:gutter="0"/>
          <w:cols w:space="708"/>
          <w:docGrid w:linePitch="360"/>
        </w:sectPr>
      </w:pPr>
    </w:p>
    <w:p w:rsidR="000122E0" w:rsidRDefault="00914A2A" w:rsidP="000122E0">
      <w:pPr>
        <w:spacing w:after="0"/>
        <w:jc w:val="center"/>
        <w:rPr>
          <w:rFonts w:cs="Times New Roman"/>
        </w:rPr>
      </w:pPr>
      <w:r w:rsidRPr="00771B25">
        <w:rPr>
          <w:rStyle w:val="TypografiFed"/>
          <w:rFonts w:cs="Times New Roman"/>
        </w:rPr>
        <w:t>§ 1</w:t>
      </w:r>
    </w:p>
    <w:p w:rsidR="000122E0" w:rsidRDefault="000122E0" w:rsidP="00320C77">
      <w:pPr>
        <w:spacing w:after="0"/>
        <w:rPr>
          <w:rFonts w:cs="Times New Roman"/>
        </w:rPr>
      </w:pPr>
    </w:p>
    <w:p w:rsidR="006C7B64" w:rsidRPr="006C7B64" w:rsidRDefault="006C7B64" w:rsidP="006C7B64">
      <w:pPr>
        <w:spacing w:after="0"/>
        <w:rPr>
          <w:rFonts w:cs="Times New Roman"/>
        </w:rPr>
      </w:pPr>
      <w:r w:rsidRPr="006C7B64">
        <w:rPr>
          <w:rFonts w:cs="Times New Roman"/>
        </w:rPr>
        <w:t xml:space="preserve">Í kongligari fyriskipan nr. 1114 frá 20. september 2007 um ígildissetan fyri Føroyar av “lov om visse erhvervsdrivende virksomheder” (Vinnufyritøkulógin), sum </w:t>
      </w:r>
    </w:p>
    <w:p w:rsidR="006C7B64" w:rsidRPr="006C7B64" w:rsidRDefault="006C7B64" w:rsidP="006C7B64">
      <w:pPr>
        <w:spacing w:after="0"/>
        <w:rPr>
          <w:rFonts w:cs="Times New Roman"/>
        </w:rPr>
      </w:pPr>
      <w:r w:rsidRPr="006C7B64">
        <w:rPr>
          <w:rFonts w:cs="Times New Roman"/>
        </w:rPr>
        <w:t>broytt við løgtingslóg nr. 52 frá 11. mai 2009, løgtingslóg nr. 69 frá 27. mai 2011,  løgtingslóg nr. 25 frá 16. mars 2012 og  løgtingslóg nr. 43 frá 6. mai 2016</w:t>
      </w:r>
    </w:p>
    <w:p w:rsidR="005C5CE3" w:rsidRDefault="006C7B64" w:rsidP="006C7B64">
      <w:pPr>
        <w:spacing w:after="0"/>
        <w:rPr>
          <w:rFonts w:cs="Times New Roman"/>
        </w:rPr>
      </w:pPr>
      <w:r w:rsidRPr="006C7B64">
        <w:rPr>
          <w:rFonts w:cs="Times New Roman"/>
        </w:rPr>
        <w:t>verða gjørdar hesar broytingar:</w:t>
      </w:r>
    </w:p>
    <w:p w:rsidR="000122E0" w:rsidRDefault="000122E0" w:rsidP="005C5CE3">
      <w:pPr>
        <w:spacing w:after="0"/>
        <w:rPr>
          <w:rFonts w:cs="Times New Roman"/>
        </w:rPr>
      </w:pPr>
    </w:p>
    <w:p w:rsidR="00C52E0D" w:rsidRPr="00C52E0D" w:rsidRDefault="00C52E0D" w:rsidP="00C52E0D">
      <w:pPr>
        <w:pStyle w:val="Listeafsnit"/>
        <w:numPr>
          <w:ilvl w:val="0"/>
          <w:numId w:val="3"/>
        </w:numPr>
        <w:spacing w:after="0"/>
        <w:rPr>
          <w:rFonts w:cs="Times New Roman"/>
          <w:szCs w:val="24"/>
        </w:rPr>
      </w:pPr>
      <w:r w:rsidRPr="00C52E0D">
        <w:rPr>
          <w:rFonts w:cs="Times New Roman"/>
          <w:szCs w:val="24"/>
        </w:rPr>
        <w:t xml:space="preserve">Aftan á § 1 a verður sett sum nýggj § 1 b: </w:t>
      </w:r>
    </w:p>
    <w:p w:rsidR="00C52E0D" w:rsidRPr="00C52E0D" w:rsidRDefault="00C52E0D" w:rsidP="00C52E0D">
      <w:pPr>
        <w:pStyle w:val="Listeafsnit"/>
        <w:spacing w:after="0"/>
        <w:ind w:left="360"/>
        <w:rPr>
          <w:rFonts w:cs="Times New Roman"/>
          <w:szCs w:val="24"/>
        </w:rPr>
      </w:pPr>
      <w:r w:rsidRPr="00C52E0D">
        <w:rPr>
          <w:rFonts w:cs="Times New Roman"/>
          <w:szCs w:val="24"/>
        </w:rPr>
        <w:t xml:space="preserve">“§ 1. b. Fyritøkur, sbrt. § 1 a, sum, umframt at reka tryggingarvirksemi, ætla at reka annað fíggjarligt virksemi, skulu skipa teirra fíggjarligu fyritøkur </w:t>
      </w:r>
      <w:r w:rsidRPr="00C52E0D">
        <w:rPr>
          <w:rFonts w:cs="Times New Roman"/>
          <w:szCs w:val="24"/>
        </w:rPr>
        <w:t>við eini tryggingarhaldfyritøku og eini haldfyritøku, sum eigur aðrar fíggjarligar fyritøkur, sum beinle</w:t>
      </w:r>
      <w:r w:rsidR="00BC7F37">
        <w:rPr>
          <w:rFonts w:cs="Times New Roman"/>
          <w:szCs w:val="24"/>
        </w:rPr>
        <w:t>i</w:t>
      </w:r>
      <w:r w:rsidRPr="00C52E0D">
        <w:rPr>
          <w:rFonts w:cs="Times New Roman"/>
          <w:szCs w:val="24"/>
        </w:rPr>
        <w:t xml:space="preserve">ðis eigarar. </w:t>
      </w:r>
    </w:p>
    <w:p w:rsidR="00C52E0D" w:rsidRPr="00C52E0D" w:rsidRDefault="00C52E0D" w:rsidP="00C52E0D">
      <w:pPr>
        <w:pStyle w:val="Listeafsnit"/>
        <w:spacing w:after="0"/>
        <w:ind w:left="360"/>
        <w:rPr>
          <w:rFonts w:cs="Times New Roman"/>
          <w:szCs w:val="24"/>
        </w:rPr>
      </w:pPr>
      <w:r w:rsidRPr="00C52E0D">
        <w:rPr>
          <w:rFonts w:cs="Times New Roman"/>
          <w:szCs w:val="24"/>
        </w:rPr>
        <w:t>Stk. 2. Fyritøkur, sbr</w:t>
      </w:r>
      <w:r w:rsidR="00925A7E">
        <w:rPr>
          <w:rFonts w:cs="Times New Roman"/>
          <w:szCs w:val="24"/>
        </w:rPr>
        <w:t>t</w:t>
      </w:r>
      <w:r w:rsidRPr="00C52E0D">
        <w:rPr>
          <w:rFonts w:cs="Times New Roman"/>
          <w:szCs w:val="24"/>
        </w:rPr>
        <w:t>. stk. 1, kunnu einans fíggja kapitalinnskot í  tryggingarhaldfyritøku</w:t>
      </w:r>
      <w:r w:rsidR="0069064A">
        <w:rPr>
          <w:rFonts w:cs="Times New Roman"/>
          <w:szCs w:val="24"/>
        </w:rPr>
        <w:t>m</w:t>
      </w:r>
      <w:r w:rsidR="00773B88">
        <w:rPr>
          <w:rFonts w:cs="Times New Roman"/>
          <w:szCs w:val="24"/>
        </w:rPr>
        <w:t>,</w:t>
      </w:r>
      <w:r w:rsidRPr="00C52E0D">
        <w:rPr>
          <w:rFonts w:cs="Times New Roman"/>
          <w:szCs w:val="24"/>
        </w:rPr>
        <w:t xml:space="preserve"> </w:t>
      </w:r>
      <w:r w:rsidR="00773B88">
        <w:rPr>
          <w:rFonts w:cs="Times New Roman"/>
          <w:szCs w:val="24"/>
        </w:rPr>
        <w:t>í øðrum</w:t>
      </w:r>
      <w:r w:rsidR="00773B88" w:rsidRPr="00C52E0D">
        <w:rPr>
          <w:rFonts w:cs="Times New Roman"/>
          <w:szCs w:val="24"/>
        </w:rPr>
        <w:t xml:space="preserve"> </w:t>
      </w:r>
      <w:r w:rsidRPr="00C52E0D">
        <w:rPr>
          <w:rFonts w:cs="Times New Roman"/>
          <w:szCs w:val="24"/>
        </w:rPr>
        <w:t>haldfyritøku</w:t>
      </w:r>
      <w:r w:rsidR="00773B88">
        <w:rPr>
          <w:rFonts w:cs="Times New Roman"/>
          <w:szCs w:val="24"/>
        </w:rPr>
        <w:t>m</w:t>
      </w:r>
      <w:r w:rsidRPr="00C52E0D">
        <w:rPr>
          <w:rFonts w:cs="Times New Roman"/>
          <w:szCs w:val="24"/>
        </w:rPr>
        <w:t xml:space="preserve"> og teirra dóttirfyritøku</w:t>
      </w:r>
      <w:r w:rsidR="00773B88">
        <w:rPr>
          <w:rFonts w:cs="Times New Roman"/>
          <w:szCs w:val="24"/>
        </w:rPr>
        <w:t>m</w:t>
      </w:r>
      <w:r w:rsidRPr="00C52E0D">
        <w:rPr>
          <w:rFonts w:cs="Times New Roman"/>
          <w:szCs w:val="24"/>
        </w:rPr>
        <w:t xml:space="preserve"> við egnum pengum og ikki við lánsupptøku, og kunnu ikki veita veðhald ella veita trygd fyri lánum ella fyri øðrum fíggingarhættum hjá hesum fyritøkum.    </w:t>
      </w:r>
    </w:p>
    <w:p w:rsidR="00C52E0D" w:rsidRPr="00C52E0D" w:rsidRDefault="00C52E0D" w:rsidP="00C52E0D">
      <w:pPr>
        <w:pStyle w:val="Listeafsnit"/>
        <w:spacing w:after="0"/>
        <w:ind w:left="360"/>
        <w:rPr>
          <w:rFonts w:cs="Times New Roman"/>
          <w:szCs w:val="24"/>
        </w:rPr>
      </w:pPr>
      <w:r w:rsidRPr="00C52E0D">
        <w:rPr>
          <w:rFonts w:cs="Times New Roman"/>
          <w:szCs w:val="24"/>
        </w:rPr>
        <w:t>Stk. 3. Lim</w:t>
      </w:r>
      <w:r w:rsidR="00925A7E">
        <w:rPr>
          <w:rFonts w:cs="Times New Roman"/>
          <w:szCs w:val="24"/>
        </w:rPr>
        <w:t>u</w:t>
      </w:r>
      <w:r w:rsidRPr="00C52E0D">
        <w:rPr>
          <w:rFonts w:cs="Times New Roman"/>
          <w:szCs w:val="24"/>
        </w:rPr>
        <w:t>r í stjórn í fyritøkum, sbr</w:t>
      </w:r>
      <w:r w:rsidR="00925A7E">
        <w:rPr>
          <w:rFonts w:cs="Times New Roman"/>
          <w:szCs w:val="24"/>
        </w:rPr>
        <w:t>t</w:t>
      </w:r>
      <w:r w:rsidRPr="00C52E0D">
        <w:rPr>
          <w:rFonts w:cs="Times New Roman"/>
          <w:szCs w:val="24"/>
        </w:rPr>
        <w:t xml:space="preserve">. stk. 1, </w:t>
      </w:r>
      <w:r w:rsidR="00925A7E">
        <w:rPr>
          <w:rFonts w:cs="Times New Roman"/>
          <w:szCs w:val="24"/>
        </w:rPr>
        <w:t>kann</w:t>
      </w:r>
      <w:r w:rsidR="00925A7E" w:rsidRPr="00C52E0D">
        <w:rPr>
          <w:rFonts w:cs="Times New Roman"/>
          <w:szCs w:val="24"/>
        </w:rPr>
        <w:t xml:space="preserve"> </w:t>
      </w:r>
      <w:r w:rsidRPr="00C52E0D">
        <w:rPr>
          <w:rFonts w:cs="Times New Roman"/>
          <w:szCs w:val="24"/>
        </w:rPr>
        <w:t>ikki vera nevndarformaður ella stjór</w:t>
      </w:r>
      <w:r w:rsidR="00BC7F37">
        <w:rPr>
          <w:rFonts w:cs="Times New Roman"/>
          <w:szCs w:val="24"/>
        </w:rPr>
        <w:t>i</w:t>
      </w:r>
      <w:r w:rsidRPr="00C52E0D">
        <w:rPr>
          <w:rFonts w:cs="Times New Roman"/>
          <w:szCs w:val="24"/>
        </w:rPr>
        <w:t xml:space="preserve"> í dóttirfyritøkum hjá hesum fyritøkum uttan so, at </w:t>
      </w:r>
      <w:r w:rsidR="00D14A23">
        <w:rPr>
          <w:rFonts w:cs="Times New Roman"/>
          <w:szCs w:val="24"/>
        </w:rPr>
        <w:lastRenderedPageBreak/>
        <w:t>Tryggingareftirlitið</w:t>
      </w:r>
      <w:r w:rsidRPr="00C52E0D">
        <w:rPr>
          <w:rFonts w:cs="Times New Roman"/>
          <w:szCs w:val="24"/>
        </w:rPr>
        <w:t xml:space="preserve"> í undantaksføri gevur loyvi. </w:t>
      </w:r>
    </w:p>
    <w:p w:rsidR="00C52E0D" w:rsidRPr="00C52E0D" w:rsidRDefault="00C52E0D" w:rsidP="00C52E0D">
      <w:pPr>
        <w:pStyle w:val="Listeafsnit"/>
        <w:spacing w:after="0"/>
        <w:ind w:left="360"/>
        <w:rPr>
          <w:rFonts w:cs="Times New Roman"/>
          <w:szCs w:val="24"/>
        </w:rPr>
      </w:pPr>
      <w:r w:rsidRPr="00C52E0D">
        <w:rPr>
          <w:rFonts w:cs="Times New Roman"/>
          <w:szCs w:val="24"/>
        </w:rPr>
        <w:t>Stk. 4. Lim</w:t>
      </w:r>
      <w:r w:rsidR="00925A7E">
        <w:rPr>
          <w:rFonts w:cs="Times New Roman"/>
          <w:szCs w:val="24"/>
        </w:rPr>
        <w:t>u</w:t>
      </w:r>
      <w:r w:rsidRPr="00C52E0D">
        <w:rPr>
          <w:rFonts w:cs="Times New Roman"/>
          <w:szCs w:val="24"/>
        </w:rPr>
        <w:t>r í stjórn í eini tryggingarhaldfyritøku, sum fyritøkur, sbr</w:t>
      </w:r>
      <w:r w:rsidR="00925A7E">
        <w:rPr>
          <w:rFonts w:cs="Times New Roman"/>
          <w:szCs w:val="24"/>
        </w:rPr>
        <w:t>t</w:t>
      </w:r>
      <w:r w:rsidRPr="00C52E0D">
        <w:rPr>
          <w:rFonts w:cs="Times New Roman"/>
          <w:szCs w:val="24"/>
        </w:rPr>
        <w:t xml:space="preserve">. stk. 1, eiga, </w:t>
      </w:r>
      <w:r w:rsidR="00925A7E">
        <w:rPr>
          <w:rFonts w:cs="Times New Roman"/>
          <w:szCs w:val="24"/>
        </w:rPr>
        <w:t>kann</w:t>
      </w:r>
      <w:r w:rsidR="00925A7E" w:rsidRPr="00C52E0D">
        <w:rPr>
          <w:rFonts w:cs="Times New Roman"/>
          <w:szCs w:val="24"/>
        </w:rPr>
        <w:t xml:space="preserve"> </w:t>
      </w:r>
      <w:r w:rsidRPr="00C52E0D">
        <w:rPr>
          <w:rFonts w:cs="Times New Roman"/>
          <w:szCs w:val="24"/>
        </w:rPr>
        <w:t>ikki vera stjór</w:t>
      </w:r>
      <w:r w:rsidR="00925A7E">
        <w:rPr>
          <w:rFonts w:cs="Times New Roman"/>
          <w:szCs w:val="24"/>
        </w:rPr>
        <w:t>i</w:t>
      </w:r>
      <w:r w:rsidRPr="00C52E0D">
        <w:rPr>
          <w:rFonts w:cs="Times New Roman"/>
          <w:szCs w:val="24"/>
        </w:rPr>
        <w:t xml:space="preserve"> í øðrum haldfyritøkum, sum fyritøkur, sbr</w:t>
      </w:r>
      <w:r w:rsidR="00925A7E">
        <w:rPr>
          <w:rFonts w:cs="Times New Roman"/>
          <w:szCs w:val="24"/>
        </w:rPr>
        <w:t>t</w:t>
      </w:r>
      <w:r w:rsidRPr="00C52E0D">
        <w:rPr>
          <w:rFonts w:cs="Times New Roman"/>
          <w:szCs w:val="24"/>
        </w:rPr>
        <w:t>. stk. 1, eiga.</w:t>
      </w:r>
    </w:p>
    <w:p w:rsidR="00C52E0D" w:rsidRPr="00C52E0D" w:rsidRDefault="00C52E0D" w:rsidP="00C52E0D">
      <w:pPr>
        <w:pStyle w:val="Listeafsnit"/>
        <w:spacing w:after="0"/>
        <w:ind w:left="360"/>
        <w:rPr>
          <w:rFonts w:cs="Times New Roman"/>
          <w:szCs w:val="24"/>
        </w:rPr>
      </w:pPr>
      <w:r w:rsidRPr="00C52E0D">
        <w:rPr>
          <w:rFonts w:cs="Times New Roman"/>
          <w:szCs w:val="24"/>
        </w:rPr>
        <w:t>Stk. 5. Lim</w:t>
      </w:r>
      <w:r w:rsidR="00925A7E">
        <w:rPr>
          <w:rFonts w:cs="Times New Roman"/>
          <w:szCs w:val="24"/>
        </w:rPr>
        <w:t>u</w:t>
      </w:r>
      <w:r w:rsidRPr="00C52E0D">
        <w:rPr>
          <w:rFonts w:cs="Times New Roman"/>
          <w:szCs w:val="24"/>
        </w:rPr>
        <w:t>r í stjórn í eini tryggingarfyritøku, sum ein tryggingarhaldfyritøka, sbr</w:t>
      </w:r>
      <w:r w:rsidR="00925A7E">
        <w:rPr>
          <w:rFonts w:cs="Times New Roman"/>
          <w:szCs w:val="24"/>
        </w:rPr>
        <w:t>t</w:t>
      </w:r>
      <w:r w:rsidRPr="00C52E0D">
        <w:rPr>
          <w:rFonts w:cs="Times New Roman"/>
          <w:szCs w:val="24"/>
        </w:rPr>
        <w:t xml:space="preserve">. stk. 1,  eigur, </w:t>
      </w:r>
      <w:r w:rsidR="00925A7E">
        <w:rPr>
          <w:rFonts w:cs="Times New Roman"/>
          <w:szCs w:val="24"/>
        </w:rPr>
        <w:t>kann</w:t>
      </w:r>
      <w:r w:rsidR="00925A7E" w:rsidRPr="00C52E0D">
        <w:rPr>
          <w:rFonts w:cs="Times New Roman"/>
          <w:szCs w:val="24"/>
        </w:rPr>
        <w:t xml:space="preserve"> </w:t>
      </w:r>
      <w:r w:rsidRPr="00C52E0D">
        <w:rPr>
          <w:rFonts w:cs="Times New Roman"/>
          <w:szCs w:val="24"/>
        </w:rPr>
        <w:t>ikki vera stjór</w:t>
      </w:r>
      <w:r w:rsidR="00925A7E">
        <w:rPr>
          <w:rFonts w:cs="Times New Roman"/>
          <w:szCs w:val="24"/>
        </w:rPr>
        <w:t>i</w:t>
      </w:r>
      <w:r w:rsidRPr="00C52E0D">
        <w:rPr>
          <w:rFonts w:cs="Times New Roman"/>
          <w:szCs w:val="24"/>
        </w:rPr>
        <w:t xml:space="preserve"> í eini aðrari fíggjarligari fyritøku undir eftirliti, sum ikki er ein tryggingarfyritøka.</w:t>
      </w:r>
    </w:p>
    <w:p w:rsidR="00C52E0D" w:rsidRPr="00C52E0D" w:rsidRDefault="00C52E0D" w:rsidP="00C52E0D">
      <w:pPr>
        <w:pStyle w:val="Listeafsnit"/>
        <w:spacing w:after="0"/>
        <w:ind w:left="360"/>
        <w:rPr>
          <w:rFonts w:cs="Times New Roman"/>
          <w:szCs w:val="24"/>
        </w:rPr>
      </w:pPr>
      <w:r w:rsidRPr="00C52E0D">
        <w:rPr>
          <w:rFonts w:cs="Times New Roman"/>
          <w:szCs w:val="24"/>
        </w:rPr>
        <w:t>Stk. 6. Nevndin í fyritøkum, sbr</w:t>
      </w:r>
      <w:r w:rsidR="00925A7E">
        <w:rPr>
          <w:rFonts w:cs="Times New Roman"/>
          <w:szCs w:val="24"/>
        </w:rPr>
        <w:t>t</w:t>
      </w:r>
      <w:r w:rsidRPr="00C52E0D">
        <w:rPr>
          <w:rFonts w:cs="Times New Roman"/>
          <w:szCs w:val="24"/>
        </w:rPr>
        <w:t>. stk. 1,  hevur skyldu at tryggja sær, at nevndin hevur nóg stóra kollektiva vitan, fakligar førleikar og royndir til at tryggja fullgóðan rakstur av fyritøkuni sambært handi</w:t>
      </w:r>
      <w:r w:rsidR="00863EE0">
        <w:rPr>
          <w:rFonts w:cs="Times New Roman"/>
          <w:szCs w:val="24"/>
        </w:rPr>
        <w:t>l</w:t>
      </w:r>
      <w:r w:rsidRPr="00C52E0D">
        <w:rPr>
          <w:rFonts w:cs="Times New Roman"/>
          <w:szCs w:val="24"/>
        </w:rPr>
        <w:t>smodelli felagsins og tí váða, sum er tengdur at hesum.  Nevndin skal hvørt ár gera eina eftirmeting av síni k</w:t>
      </w:r>
      <w:r w:rsidR="00BC7F37">
        <w:rPr>
          <w:rFonts w:cs="Times New Roman"/>
          <w:szCs w:val="24"/>
        </w:rPr>
        <w:t>o</w:t>
      </w:r>
      <w:r w:rsidRPr="00C52E0D">
        <w:rPr>
          <w:rFonts w:cs="Times New Roman"/>
          <w:szCs w:val="24"/>
        </w:rPr>
        <w:t>llektivu vitan og førleikum. Eftirmetingin skal latast inn til Tryggingareftirlitið áðrenn 1. juli.</w:t>
      </w:r>
    </w:p>
    <w:p w:rsidR="00C52E0D" w:rsidRDefault="00C52E0D" w:rsidP="00C52E0D">
      <w:pPr>
        <w:pStyle w:val="Listeafsnit"/>
        <w:spacing w:after="0"/>
        <w:ind w:left="360"/>
        <w:rPr>
          <w:rFonts w:cs="Times New Roman"/>
          <w:szCs w:val="24"/>
        </w:rPr>
      </w:pPr>
      <w:r w:rsidRPr="00C52E0D">
        <w:rPr>
          <w:rFonts w:cs="Times New Roman"/>
          <w:szCs w:val="24"/>
        </w:rPr>
        <w:t xml:space="preserve">Stk. 7. Tryggingareftirlitið hevur eftirlit við, at reglurnar í stk. 1 - 6 verða hildnar. Ásetingarnar í </w:t>
      </w:r>
      <w:r w:rsidR="00C675BA" w:rsidRPr="00C675BA">
        <w:rPr>
          <w:rFonts w:cs="Times New Roman"/>
          <w:szCs w:val="24"/>
        </w:rPr>
        <w:t>Kapittul 18</w:t>
      </w:r>
      <w:r w:rsidR="00C675BA">
        <w:rPr>
          <w:rFonts w:cs="Times New Roman"/>
          <w:szCs w:val="24"/>
        </w:rPr>
        <w:t xml:space="preserve"> um e</w:t>
      </w:r>
      <w:r w:rsidR="00C675BA" w:rsidRPr="00C675BA">
        <w:rPr>
          <w:rFonts w:cs="Times New Roman"/>
          <w:szCs w:val="24"/>
        </w:rPr>
        <w:t>ftirlit o.a.</w:t>
      </w:r>
      <w:r w:rsidR="00C675BA">
        <w:rPr>
          <w:rFonts w:cs="Times New Roman"/>
          <w:szCs w:val="24"/>
        </w:rPr>
        <w:t xml:space="preserve"> í løgtingslóg </w:t>
      </w:r>
      <w:r w:rsidR="00BC7F37">
        <w:rPr>
          <w:rFonts w:cs="Times New Roman"/>
          <w:szCs w:val="24"/>
        </w:rPr>
        <w:t>u</w:t>
      </w:r>
      <w:r w:rsidR="00C675BA">
        <w:rPr>
          <w:rFonts w:cs="Times New Roman"/>
          <w:szCs w:val="24"/>
        </w:rPr>
        <w:t>m tryggingarvirkemi verða nýttar samsvarandi við neyðugum tillagingum.</w:t>
      </w:r>
    </w:p>
    <w:p w:rsidR="00C675BA" w:rsidRPr="00C52E0D" w:rsidRDefault="00C675BA" w:rsidP="00C52E0D">
      <w:pPr>
        <w:pStyle w:val="Listeafsnit"/>
        <w:spacing w:after="0"/>
        <w:ind w:left="360"/>
        <w:rPr>
          <w:rFonts w:cs="Times New Roman"/>
          <w:szCs w:val="24"/>
        </w:rPr>
      </w:pPr>
    </w:p>
    <w:p w:rsidR="00C52E0D" w:rsidRDefault="00C675BA" w:rsidP="00C52E0D">
      <w:pPr>
        <w:pStyle w:val="Listeafsnit"/>
        <w:numPr>
          <w:ilvl w:val="0"/>
          <w:numId w:val="3"/>
        </w:numPr>
        <w:spacing w:after="0"/>
        <w:rPr>
          <w:rFonts w:cs="Times New Roman"/>
          <w:szCs w:val="24"/>
        </w:rPr>
      </w:pPr>
      <w:r>
        <w:rPr>
          <w:rFonts w:cs="Times New Roman"/>
          <w:szCs w:val="24"/>
        </w:rPr>
        <w:t>Í § 23, stk. 1 verður aftan á 2. pkt. sett:</w:t>
      </w:r>
    </w:p>
    <w:p w:rsidR="00C675BA" w:rsidRPr="00C52E0D" w:rsidRDefault="00C675BA" w:rsidP="00C675BA">
      <w:pPr>
        <w:pStyle w:val="Listeafsnit"/>
        <w:spacing w:after="0"/>
        <w:ind w:left="360"/>
        <w:rPr>
          <w:rFonts w:cs="Times New Roman"/>
          <w:szCs w:val="24"/>
        </w:rPr>
      </w:pPr>
      <w:r>
        <w:rPr>
          <w:rFonts w:cs="Times New Roman"/>
          <w:szCs w:val="24"/>
        </w:rPr>
        <w:t>“Brot á § 1 b verður revsað við bót. Tann</w:t>
      </w:r>
      <w:r w:rsidRPr="00C675BA">
        <w:rPr>
          <w:rFonts w:cs="Times New Roman"/>
          <w:szCs w:val="24"/>
        </w:rPr>
        <w:t xml:space="preserve">, sum ikki fylgir boðum </w:t>
      </w:r>
      <w:r w:rsidR="00863EE0">
        <w:rPr>
          <w:rFonts w:cs="Times New Roman"/>
          <w:szCs w:val="24"/>
        </w:rPr>
        <w:t>givnum við heimild í § 1 b</w:t>
      </w:r>
      <w:r w:rsidR="00BC7F37">
        <w:rPr>
          <w:rFonts w:cs="Times New Roman"/>
          <w:szCs w:val="24"/>
        </w:rPr>
        <w:t>,</w:t>
      </w:r>
      <w:r w:rsidR="00863EE0">
        <w:rPr>
          <w:rFonts w:cs="Times New Roman"/>
          <w:szCs w:val="24"/>
        </w:rPr>
        <w:t xml:space="preserve"> </w:t>
      </w:r>
      <w:r w:rsidRPr="00C675BA">
        <w:rPr>
          <w:rFonts w:cs="Times New Roman"/>
          <w:szCs w:val="24"/>
        </w:rPr>
        <w:t>verður revsaður við bót.</w:t>
      </w:r>
      <w:r w:rsidR="00863EE0">
        <w:rPr>
          <w:rFonts w:cs="Times New Roman"/>
          <w:szCs w:val="24"/>
        </w:rPr>
        <w:t>”</w:t>
      </w:r>
    </w:p>
    <w:p w:rsidR="00C52E0D" w:rsidRPr="00863EE0" w:rsidRDefault="00C52E0D" w:rsidP="00863EE0">
      <w:pPr>
        <w:spacing w:after="0"/>
        <w:rPr>
          <w:rFonts w:cs="Times New Roman"/>
          <w:szCs w:val="24"/>
        </w:rPr>
      </w:pPr>
    </w:p>
    <w:p w:rsidR="003A312A" w:rsidRPr="00D96CCF" w:rsidRDefault="003A312A" w:rsidP="00D96CCF">
      <w:pPr>
        <w:pStyle w:val="Listeafsnit"/>
        <w:spacing w:after="0"/>
        <w:ind w:left="357"/>
        <w:rPr>
          <w:rFonts w:cs="Times New Roman"/>
          <w:szCs w:val="24"/>
        </w:rPr>
      </w:pPr>
    </w:p>
    <w:p w:rsidR="000122E0" w:rsidRDefault="004C1845" w:rsidP="000122E0">
      <w:pPr>
        <w:spacing w:after="0"/>
        <w:jc w:val="center"/>
        <w:rPr>
          <w:rFonts w:cs="Times New Roman"/>
          <w:szCs w:val="24"/>
        </w:rPr>
      </w:pPr>
      <w:r w:rsidRPr="00771B25">
        <w:rPr>
          <w:rStyle w:val="TypografiFed"/>
          <w:rFonts w:cs="Times New Roman"/>
        </w:rPr>
        <w:t>§ 2</w:t>
      </w:r>
    </w:p>
    <w:p w:rsidR="000122E0" w:rsidRDefault="000122E0" w:rsidP="00086403">
      <w:pPr>
        <w:spacing w:after="0"/>
        <w:rPr>
          <w:rFonts w:cs="Times New Roman"/>
          <w:szCs w:val="24"/>
        </w:rPr>
      </w:pPr>
    </w:p>
    <w:p w:rsidR="000E3179" w:rsidRPr="00771B25" w:rsidRDefault="00CD0A8C" w:rsidP="00086403">
      <w:pPr>
        <w:spacing w:after="0"/>
        <w:rPr>
          <w:rFonts w:cs="Times New Roman"/>
          <w:szCs w:val="24"/>
        </w:rPr>
      </w:pPr>
      <w:r>
        <w:rPr>
          <w:rFonts w:cs="Times New Roman"/>
          <w:szCs w:val="24"/>
        </w:rPr>
        <w:t xml:space="preserve">Henda løgtingslóg kemur í gildi </w:t>
      </w:r>
      <w:r w:rsidR="00A46FDE">
        <w:rPr>
          <w:rFonts w:cs="Times New Roman"/>
          <w:szCs w:val="24"/>
        </w:rPr>
        <w:t>dagin eftir hon er kunngjørd.</w:t>
      </w:r>
    </w:p>
    <w:p w:rsidR="000E3179" w:rsidRPr="00771B25" w:rsidRDefault="00A46FDE" w:rsidP="00086403">
      <w:pPr>
        <w:spacing w:after="0"/>
        <w:rPr>
          <w:rFonts w:cs="Times New Roman"/>
          <w:szCs w:val="24"/>
        </w:rPr>
      </w:pPr>
      <w:r>
        <w:rPr>
          <w:rFonts w:cs="Times New Roman"/>
          <w:szCs w:val="24"/>
        </w:rPr>
        <w:t xml:space="preserve">Stk. 2. Fyritøkur, sbrt. § 1 b, stk. 1 skulu lúka treytirnar í hesi lóg í </w:t>
      </w:r>
      <w:r w:rsidR="00F477B9">
        <w:rPr>
          <w:rFonts w:cs="Times New Roman"/>
          <w:szCs w:val="24"/>
        </w:rPr>
        <w:t>s</w:t>
      </w:r>
      <w:r>
        <w:rPr>
          <w:rFonts w:cs="Times New Roman"/>
          <w:szCs w:val="24"/>
        </w:rPr>
        <w:t>einasta lagi 1. januar 2018.</w:t>
      </w:r>
    </w:p>
    <w:p w:rsidR="004C1845" w:rsidRPr="00771B25" w:rsidRDefault="004C1845" w:rsidP="00086403">
      <w:pPr>
        <w:spacing w:after="0"/>
        <w:rPr>
          <w:rFonts w:cs="Times New Roman"/>
          <w:b/>
          <w:szCs w:val="24"/>
        </w:rPr>
        <w:sectPr w:rsidR="004C1845" w:rsidRPr="00771B25" w:rsidSect="00D229E8">
          <w:type w:val="continuous"/>
          <w:pgSz w:w="11906" w:h="16838"/>
          <w:pgMar w:top="1440" w:right="1440" w:bottom="1440" w:left="1440" w:header="709" w:footer="709" w:gutter="0"/>
          <w:cols w:num="2" w:space="708"/>
          <w:docGrid w:linePitch="360"/>
        </w:sectPr>
      </w:pPr>
    </w:p>
    <w:p w:rsidR="00834A49" w:rsidRPr="00771B25" w:rsidRDefault="00834A49" w:rsidP="00086403">
      <w:pPr>
        <w:spacing w:after="0"/>
        <w:rPr>
          <w:rFonts w:cs="Times New Roman"/>
          <w:b/>
          <w:szCs w:val="24"/>
        </w:rPr>
      </w:pPr>
    </w:p>
    <w:p w:rsidR="00834A49" w:rsidRPr="00771B25" w:rsidRDefault="00834A49" w:rsidP="00086403">
      <w:pPr>
        <w:spacing w:after="0"/>
        <w:rPr>
          <w:rFonts w:cs="Times New Roman"/>
          <w:b/>
          <w:szCs w:val="24"/>
        </w:rPr>
      </w:pPr>
    </w:p>
    <w:p w:rsidR="00806D41" w:rsidRPr="00771B25" w:rsidRDefault="00806D41" w:rsidP="00086403">
      <w:pPr>
        <w:spacing w:after="0"/>
        <w:rPr>
          <w:rFonts w:cs="Times New Roman"/>
          <w:b/>
          <w:szCs w:val="24"/>
        </w:rPr>
        <w:sectPr w:rsidR="00806D41" w:rsidRPr="00771B25" w:rsidSect="00D229E8">
          <w:type w:val="continuous"/>
          <w:pgSz w:w="11906" w:h="16838"/>
          <w:pgMar w:top="1440" w:right="1440" w:bottom="1440" w:left="1440" w:header="709" w:footer="709" w:gutter="0"/>
          <w:cols w:space="708"/>
          <w:titlePg/>
          <w:docGrid w:linePitch="360"/>
        </w:sectPr>
      </w:pPr>
    </w:p>
    <w:p w:rsidR="00834A49" w:rsidRPr="00771B25" w:rsidRDefault="00834A49" w:rsidP="00086403">
      <w:pPr>
        <w:spacing w:after="0"/>
        <w:rPr>
          <w:rFonts w:cs="Times New Roman"/>
          <w:b/>
          <w:szCs w:val="24"/>
        </w:rPr>
      </w:pPr>
      <w:r w:rsidRPr="00771B25">
        <w:rPr>
          <w:rFonts w:cs="Times New Roman"/>
          <w:b/>
          <w:szCs w:val="24"/>
        </w:rPr>
        <w:lastRenderedPageBreak/>
        <w:t>Kapittul 1. Almennar viðmerkingar</w:t>
      </w:r>
    </w:p>
    <w:p w:rsidR="0076665D" w:rsidRPr="00771B25" w:rsidRDefault="0076665D" w:rsidP="00086403">
      <w:pPr>
        <w:spacing w:after="0"/>
        <w:rPr>
          <w:rFonts w:cs="Times New Roman"/>
          <w:b/>
          <w:szCs w:val="24"/>
        </w:rPr>
      </w:pPr>
    </w:p>
    <w:p w:rsidR="004A2D09" w:rsidRPr="00771B25" w:rsidRDefault="004A2D09" w:rsidP="00086403">
      <w:pPr>
        <w:spacing w:after="0"/>
        <w:rPr>
          <w:rFonts w:cs="Times New Roman"/>
          <w:b/>
          <w:szCs w:val="24"/>
        </w:rPr>
      </w:pPr>
    </w:p>
    <w:p w:rsidR="0076665D" w:rsidRPr="00771B25" w:rsidRDefault="0076665D" w:rsidP="00086403">
      <w:pPr>
        <w:spacing w:after="0"/>
        <w:rPr>
          <w:rFonts w:cs="Times New Roman"/>
          <w:b/>
          <w:szCs w:val="24"/>
        </w:rPr>
      </w:pPr>
      <w:r w:rsidRPr="00771B25">
        <w:rPr>
          <w:rFonts w:cs="Times New Roman"/>
          <w:b/>
          <w:szCs w:val="24"/>
        </w:rPr>
        <w:t>1.1. Orsøkir til uppskotið</w:t>
      </w:r>
    </w:p>
    <w:p w:rsidR="00EB62E2" w:rsidRPr="00EB62E2" w:rsidRDefault="00EB62E2" w:rsidP="00EB62E2">
      <w:pPr>
        <w:spacing w:after="0"/>
        <w:jc w:val="both"/>
        <w:rPr>
          <w:rFonts w:cs="Times New Roman"/>
          <w:szCs w:val="24"/>
        </w:rPr>
      </w:pPr>
    </w:p>
    <w:p w:rsidR="00EB62E2" w:rsidRPr="00EB62E2" w:rsidRDefault="00EB62E2" w:rsidP="00EB62E2">
      <w:pPr>
        <w:spacing w:after="0"/>
        <w:jc w:val="both"/>
        <w:rPr>
          <w:rFonts w:cs="Times New Roman"/>
          <w:szCs w:val="24"/>
        </w:rPr>
      </w:pPr>
      <w:r w:rsidRPr="00EB62E2">
        <w:rPr>
          <w:rFonts w:cs="Times New Roman"/>
          <w:szCs w:val="24"/>
        </w:rPr>
        <w:t xml:space="preserve">Í frágreiðing </w:t>
      </w:r>
      <w:r w:rsidR="00DB6CA6">
        <w:rPr>
          <w:rFonts w:cs="Times New Roman"/>
          <w:szCs w:val="24"/>
        </w:rPr>
        <w:t xml:space="preserve">frá </w:t>
      </w:r>
      <w:r w:rsidRPr="00EB62E2">
        <w:rPr>
          <w:rFonts w:cs="Times New Roman"/>
          <w:szCs w:val="24"/>
        </w:rPr>
        <w:t>§ 19-nevndin</w:t>
      </w:r>
      <w:r w:rsidR="00573BD5">
        <w:rPr>
          <w:rFonts w:cs="Times New Roman"/>
          <w:szCs w:val="24"/>
        </w:rPr>
        <w:t xml:space="preserve">i </w:t>
      </w:r>
      <w:r w:rsidR="00BC7F37">
        <w:rPr>
          <w:rFonts w:cs="Times New Roman"/>
          <w:szCs w:val="24"/>
        </w:rPr>
        <w:t xml:space="preserve">um </w:t>
      </w:r>
      <w:r w:rsidR="00DB6CA6" w:rsidRPr="00DB6CA6">
        <w:rPr>
          <w:rFonts w:cs="Times New Roman"/>
          <w:szCs w:val="24"/>
        </w:rPr>
        <w:t>at kanna Eik Grunnin og eftirlitið við grunninum (løgtingsmál nr. 152/2013)</w:t>
      </w:r>
      <w:r w:rsidR="00573BD5">
        <w:rPr>
          <w:rFonts w:cs="Times New Roman"/>
          <w:szCs w:val="24"/>
        </w:rPr>
        <w:t xml:space="preserve"> l</w:t>
      </w:r>
      <w:r w:rsidR="00BC7F37">
        <w:rPr>
          <w:rFonts w:cs="Times New Roman"/>
          <w:szCs w:val="24"/>
        </w:rPr>
        <w:t>ý</w:t>
      </w:r>
      <w:r w:rsidR="00573BD5">
        <w:rPr>
          <w:rFonts w:cs="Times New Roman"/>
          <w:szCs w:val="24"/>
        </w:rPr>
        <w:t xml:space="preserve">sir nevndin </w:t>
      </w:r>
      <w:r w:rsidRPr="00EB62E2">
        <w:rPr>
          <w:rFonts w:cs="Times New Roman"/>
          <w:szCs w:val="24"/>
        </w:rPr>
        <w:t>m.a. lagnufelagsskapin millum Eik Grunnin og Eik Banka sum eina dominoeffekt, har grunnurin var fullkomiliga bundin at gongdini í bankanum.</w:t>
      </w:r>
    </w:p>
    <w:p w:rsidR="00EB62E2" w:rsidRPr="00EB62E2" w:rsidRDefault="00EB62E2" w:rsidP="00EB62E2">
      <w:pPr>
        <w:spacing w:after="0"/>
        <w:jc w:val="both"/>
        <w:rPr>
          <w:rFonts w:cs="Times New Roman"/>
          <w:szCs w:val="24"/>
        </w:rPr>
      </w:pPr>
    </w:p>
    <w:p w:rsidR="00EB62E2" w:rsidRPr="00EB62E2" w:rsidRDefault="00573BD5" w:rsidP="00EB62E2">
      <w:pPr>
        <w:spacing w:after="0"/>
        <w:jc w:val="both"/>
        <w:rPr>
          <w:rFonts w:cs="Times New Roman"/>
          <w:szCs w:val="24"/>
        </w:rPr>
      </w:pPr>
      <w:r>
        <w:rPr>
          <w:rFonts w:cs="Times New Roman"/>
          <w:szCs w:val="24"/>
        </w:rPr>
        <w:t xml:space="preserve">Nevndin </w:t>
      </w:r>
      <w:r w:rsidR="00EB62E2" w:rsidRPr="00EB62E2">
        <w:rPr>
          <w:rFonts w:cs="Times New Roman"/>
          <w:szCs w:val="24"/>
        </w:rPr>
        <w:t>vísti eisini á, at eftirlitsviðurskiftini við TF- samtakinum eru ógreið, sum hugsandi kann elva til trupulleikar, s. 73 í frágreiðingini frá nevndini.</w:t>
      </w:r>
    </w:p>
    <w:p w:rsidR="00EB62E2" w:rsidRPr="00EB62E2" w:rsidRDefault="00EB62E2" w:rsidP="00EB62E2">
      <w:pPr>
        <w:spacing w:after="0"/>
        <w:jc w:val="both"/>
        <w:rPr>
          <w:rFonts w:cs="Times New Roman"/>
          <w:szCs w:val="24"/>
        </w:rPr>
      </w:pPr>
    </w:p>
    <w:p w:rsidR="00EB62E2" w:rsidRPr="00EB62E2" w:rsidRDefault="00EB62E2" w:rsidP="00EB62E2">
      <w:pPr>
        <w:spacing w:after="0"/>
        <w:jc w:val="both"/>
        <w:rPr>
          <w:rFonts w:cs="Times New Roman"/>
          <w:szCs w:val="24"/>
        </w:rPr>
      </w:pPr>
      <w:r w:rsidRPr="00EB62E2">
        <w:rPr>
          <w:rFonts w:cs="Times New Roman"/>
          <w:szCs w:val="24"/>
        </w:rPr>
        <w:t>Betri P/F, sum Ognarfelag Tryggingartakaranna (OT)</w:t>
      </w:r>
      <w:r w:rsidR="00BC7F37">
        <w:rPr>
          <w:rFonts w:cs="Times New Roman"/>
          <w:szCs w:val="24"/>
        </w:rPr>
        <w:t xml:space="preserve"> eigur</w:t>
      </w:r>
      <w:r w:rsidRPr="00EB62E2">
        <w:rPr>
          <w:rFonts w:cs="Times New Roman"/>
          <w:szCs w:val="24"/>
        </w:rPr>
        <w:t>, eigur í dag bæði Betri Banka P/F,  skaðatryggingarfelagið Betri Trygging P/F og lívstryggingarfelagið Betri Pensjón P/F.</w:t>
      </w:r>
    </w:p>
    <w:p w:rsidR="00EB62E2" w:rsidRPr="00EB62E2" w:rsidRDefault="00EB62E2" w:rsidP="00EB62E2">
      <w:pPr>
        <w:spacing w:after="0"/>
        <w:jc w:val="both"/>
        <w:rPr>
          <w:rFonts w:cs="Times New Roman"/>
          <w:szCs w:val="24"/>
        </w:rPr>
      </w:pPr>
    </w:p>
    <w:p w:rsidR="00EB62E2" w:rsidRPr="00EB62E2" w:rsidRDefault="00EB62E2" w:rsidP="00EB62E2">
      <w:pPr>
        <w:spacing w:after="0"/>
        <w:jc w:val="both"/>
        <w:rPr>
          <w:rFonts w:cs="Times New Roman"/>
          <w:szCs w:val="24"/>
        </w:rPr>
      </w:pPr>
      <w:r w:rsidRPr="00EB62E2">
        <w:rPr>
          <w:rFonts w:cs="Times New Roman"/>
          <w:szCs w:val="24"/>
        </w:rPr>
        <w:t>Betri Banki stendur fyri einum munandi parti av inn- og útlánsmarknaðinum í Føroyum. Við støði í ársfrásøgnini 2015 stendur Betri Trygging fyri uml. 80 % av marknaðinum, mált í mun til tryggingar- og skaðagjøld. Næst eftir Lív er Betri Pensjón størsta lívstryggingarfelag í Føroyum.</w:t>
      </w:r>
    </w:p>
    <w:p w:rsidR="00EB62E2" w:rsidRPr="00EB62E2" w:rsidRDefault="00EB62E2" w:rsidP="00EB62E2">
      <w:pPr>
        <w:spacing w:after="0"/>
        <w:jc w:val="both"/>
        <w:rPr>
          <w:rFonts w:cs="Times New Roman"/>
          <w:szCs w:val="24"/>
        </w:rPr>
      </w:pPr>
    </w:p>
    <w:p w:rsidR="008B6B55" w:rsidRPr="00573BD5" w:rsidRDefault="00EB62E2" w:rsidP="000948B4">
      <w:pPr>
        <w:spacing w:after="0"/>
        <w:jc w:val="both"/>
        <w:rPr>
          <w:rFonts w:cs="Times New Roman"/>
          <w:szCs w:val="24"/>
        </w:rPr>
      </w:pPr>
      <w:r w:rsidRPr="00EB62E2">
        <w:rPr>
          <w:rFonts w:cs="Times New Roman"/>
          <w:szCs w:val="24"/>
        </w:rPr>
        <w:t xml:space="preserve">Støddin á samtakinum í </w:t>
      </w:r>
      <w:r w:rsidR="00BC7F37">
        <w:rPr>
          <w:rFonts w:cs="Times New Roman"/>
          <w:szCs w:val="24"/>
        </w:rPr>
        <w:t xml:space="preserve">føroyska </w:t>
      </w:r>
      <w:r w:rsidRPr="00EB62E2">
        <w:rPr>
          <w:rFonts w:cs="Times New Roman"/>
          <w:szCs w:val="24"/>
        </w:rPr>
        <w:t>fíggjargeiranum</w:t>
      </w:r>
      <w:r w:rsidR="00573BD5">
        <w:rPr>
          <w:rFonts w:cs="Times New Roman"/>
          <w:szCs w:val="24"/>
        </w:rPr>
        <w:t xml:space="preserve">, bygnaðurin í Betri samtakinum, eftirlitsviðurskiftini, </w:t>
      </w:r>
      <w:r w:rsidRPr="00EB62E2">
        <w:rPr>
          <w:rFonts w:cs="Times New Roman"/>
          <w:szCs w:val="24"/>
        </w:rPr>
        <w:t xml:space="preserve"> og serligu eigaraviðurskiftini í samtakinum gera eisini, at tørvur </w:t>
      </w:r>
      <w:r w:rsidR="00BC7F37">
        <w:rPr>
          <w:rFonts w:cs="Times New Roman"/>
          <w:szCs w:val="24"/>
        </w:rPr>
        <w:t xml:space="preserve">er á </w:t>
      </w:r>
      <w:r w:rsidR="00573BD5">
        <w:rPr>
          <w:rFonts w:cs="Times New Roman"/>
          <w:szCs w:val="24"/>
        </w:rPr>
        <w:t xml:space="preserve">lóggávu </w:t>
      </w:r>
      <w:r w:rsidR="00573BD5" w:rsidRPr="00573BD5">
        <w:rPr>
          <w:rFonts w:cs="Times New Roman"/>
          <w:szCs w:val="24"/>
        </w:rPr>
        <w:t>fyri at skapa meira tryggar lógarkarmar um Betri samtakið</w:t>
      </w:r>
      <w:r w:rsidR="00BC7F37">
        <w:rPr>
          <w:rFonts w:cs="Times New Roman"/>
          <w:szCs w:val="24"/>
        </w:rPr>
        <w:t>.</w:t>
      </w:r>
    </w:p>
    <w:p w:rsidR="00573BD5" w:rsidRDefault="00573BD5" w:rsidP="00086403">
      <w:pPr>
        <w:spacing w:after="0"/>
        <w:rPr>
          <w:rFonts w:cs="Times New Roman"/>
          <w:b/>
          <w:szCs w:val="24"/>
        </w:rPr>
      </w:pPr>
    </w:p>
    <w:p w:rsidR="0076665D" w:rsidRPr="00771B25" w:rsidRDefault="0076665D" w:rsidP="00086403">
      <w:pPr>
        <w:spacing w:after="0"/>
        <w:rPr>
          <w:rFonts w:cs="Times New Roman"/>
          <w:b/>
          <w:szCs w:val="24"/>
        </w:rPr>
      </w:pPr>
      <w:r w:rsidRPr="00771B25">
        <w:rPr>
          <w:rFonts w:cs="Times New Roman"/>
          <w:b/>
          <w:szCs w:val="24"/>
        </w:rPr>
        <w:t xml:space="preserve">1.2. </w:t>
      </w:r>
      <w:r w:rsidR="00133E72">
        <w:rPr>
          <w:rFonts w:cs="Times New Roman"/>
          <w:b/>
          <w:szCs w:val="24"/>
        </w:rPr>
        <w:t>E</w:t>
      </w:r>
      <w:r w:rsidR="00A53425">
        <w:rPr>
          <w:rFonts w:cs="Times New Roman"/>
          <w:b/>
          <w:szCs w:val="24"/>
        </w:rPr>
        <w:t>ndamálið við uppskotinum</w:t>
      </w:r>
    </w:p>
    <w:p w:rsidR="009D457C" w:rsidRDefault="008B5E8C" w:rsidP="00133E72">
      <w:pPr>
        <w:spacing w:after="0"/>
        <w:jc w:val="both"/>
        <w:rPr>
          <w:rFonts w:cs="Times New Roman"/>
          <w:szCs w:val="24"/>
        </w:rPr>
      </w:pPr>
      <w:r w:rsidRPr="008B5E8C">
        <w:rPr>
          <w:rFonts w:cs="Times New Roman"/>
          <w:szCs w:val="24"/>
        </w:rPr>
        <w:t xml:space="preserve">Betri samtøkan er ein samfelagstýðandi og samansett fyritøka, </w:t>
      </w:r>
      <w:r w:rsidR="00534B5A">
        <w:rPr>
          <w:rFonts w:cs="Times New Roman"/>
          <w:szCs w:val="24"/>
        </w:rPr>
        <w:t xml:space="preserve">har tað í samtøkuni </w:t>
      </w:r>
      <w:r w:rsidRPr="008B5E8C">
        <w:rPr>
          <w:rFonts w:cs="Times New Roman"/>
          <w:szCs w:val="24"/>
        </w:rPr>
        <w:t xml:space="preserve">bæði  </w:t>
      </w:r>
      <w:r w:rsidR="005E5360">
        <w:rPr>
          <w:rFonts w:cs="Times New Roman"/>
          <w:szCs w:val="24"/>
        </w:rPr>
        <w:t xml:space="preserve">er </w:t>
      </w:r>
      <w:r w:rsidRPr="008B5E8C">
        <w:rPr>
          <w:rFonts w:cs="Times New Roman"/>
          <w:szCs w:val="24"/>
        </w:rPr>
        <w:t>peningastovnsvirksemi, skaðatryggingarvirksemi, og pensjónstrygging í ymsum feløgum</w:t>
      </w:r>
      <w:r w:rsidR="00F60BFD">
        <w:rPr>
          <w:rFonts w:cs="Times New Roman"/>
          <w:szCs w:val="24"/>
        </w:rPr>
        <w:t>.</w:t>
      </w:r>
      <w:r w:rsidR="00A93ADC" w:rsidRPr="00A93ADC">
        <w:t xml:space="preserve"> </w:t>
      </w:r>
      <w:r w:rsidR="00AE25D1">
        <w:t>F</w:t>
      </w:r>
      <w:r w:rsidR="00F477B9">
        <w:t>eløgini í samtøkuni, sum formliga</w:t>
      </w:r>
      <w:r w:rsidR="00AE25D1">
        <w:t xml:space="preserve"> eru sjálvstøðugir løgfrøðiligir persónar</w:t>
      </w:r>
      <w:r w:rsidR="009D457C">
        <w:t xml:space="preserve">, </w:t>
      </w:r>
      <w:r w:rsidR="00AE25D1">
        <w:t xml:space="preserve">eru </w:t>
      </w:r>
      <w:r w:rsidR="00A93ADC" w:rsidRPr="00A93ADC">
        <w:rPr>
          <w:rFonts w:cs="Times New Roman"/>
          <w:szCs w:val="24"/>
        </w:rPr>
        <w:t xml:space="preserve"> bund</w:t>
      </w:r>
      <w:r w:rsidR="00F151C7">
        <w:rPr>
          <w:rFonts w:cs="Times New Roman"/>
          <w:szCs w:val="24"/>
        </w:rPr>
        <w:t xml:space="preserve">in </w:t>
      </w:r>
      <w:r w:rsidR="00A93ADC" w:rsidRPr="00A93ADC">
        <w:rPr>
          <w:rFonts w:cs="Times New Roman"/>
          <w:szCs w:val="24"/>
        </w:rPr>
        <w:t xml:space="preserve">saman av felags eigaraskapi, ávirkan og </w:t>
      </w:r>
      <w:r w:rsidR="00A93ADC">
        <w:rPr>
          <w:rFonts w:cs="Times New Roman"/>
          <w:szCs w:val="24"/>
        </w:rPr>
        <w:t>samtøku</w:t>
      </w:r>
      <w:r w:rsidR="00A93ADC" w:rsidRPr="00A93ADC">
        <w:rPr>
          <w:rFonts w:cs="Times New Roman"/>
          <w:szCs w:val="24"/>
        </w:rPr>
        <w:t>leiðslu</w:t>
      </w:r>
      <w:r w:rsidR="009D457C">
        <w:rPr>
          <w:rFonts w:cs="Times New Roman"/>
          <w:szCs w:val="24"/>
        </w:rPr>
        <w:t xml:space="preserve">. </w:t>
      </w:r>
      <w:r w:rsidR="00F60BFD">
        <w:rPr>
          <w:rFonts w:cs="Times New Roman"/>
          <w:szCs w:val="24"/>
        </w:rPr>
        <w:t xml:space="preserve">Í </w:t>
      </w:r>
      <w:r w:rsidR="00A93ADC">
        <w:rPr>
          <w:rFonts w:cs="Times New Roman"/>
          <w:szCs w:val="24"/>
        </w:rPr>
        <w:t xml:space="preserve">tílikum </w:t>
      </w:r>
      <w:r w:rsidR="00F60BFD">
        <w:rPr>
          <w:rFonts w:cs="Times New Roman"/>
          <w:szCs w:val="24"/>
        </w:rPr>
        <w:t xml:space="preserve">samtøkum er generelt </w:t>
      </w:r>
      <w:r w:rsidR="00DB6CA6">
        <w:rPr>
          <w:rFonts w:cs="Times New Roman"/>
          <w:szCs w:val="24"/>
        </w:rPr>
        <w:t>ein innbygdur váði</w:t>
      </w:r>
      <w:r w:rsidR="00F60BFD">
        <w:rPr>
          <w:rFonts w:cs="Times New Roman"/>
          <w:szCs w:val="24"/>
        </w:rPr>
        <w:t xml:space="preserve">, </w:t>
      </w:r>
      <w:r w:rsidR="00A53425">
        <w:rPr>
          <w:rFonts w:cs="Times New Roman"/>
          <w:szCs w:val="24"/>
        </w:rPr>
        <w:t>e</w:t>
      </w:r>
      <w:r w:rsidR="00F60BFD">
        <w:rPr>
          <w:rFonts w:cs="Times New Roman"/>
          <w:szCs w:val="24"/>
        </w:rPr>
        <w:t>i</w:t>
      </w:r>
      <w:r w:rsidR="00A53425">
        <w:rPr>
          <w:rFonts w:cs="Times New Roman"/>
          <w:szCs w:val="24"/>
        </w:rPr>
        <w:t>sini nevndur samt</w:t>
      </w:r>
      <w:r w:rsidR="009D457C">
        <w:rPr>
          <w:rFonts w:cs="Times New Roman"/>
          <w:szCs w:val="24"/>
        </w:rPr>
        <w:t>økuváði</w:t>
      </w:r>
      <w:r w:rsidR="006A0E1D">
        <w:rPr>
          <w:rFonts w:cs="Times New Roman"/>
          <w:szCs w:val="24"/>
        </w:rPr>
        <w:t>.</w:t>
      </w:r>
      <w:r w:rsidR="005F0A52">
        <w:rPr>
          <w:rFonts w:cs="Times New Roman"/>
          <w:szCs w:val="24"/>
        </w:rPr>
        <w:t xml:space="preserve"> </w:t>
      </w:r>
      <w:r w:rsidR="00F477B9">
        <w:rPr>
          <w:rFonts w:cs="Times New Roman"/>
          <w:szCs w:val="24"/>
        </w:rPr>
        <w:t xml:space="preserve">Fíggjarliga lóggávan leggur upp </w:t>
      </w:r>
      <w:r w:rsidR="0074306B">
        <w:rPr>
          <w:rFonts w:cs="Times New Roman"/>
          <w:szCs w:val="24"/>
        </w:rPr>
        <w:t>fyri hesum við reglum</w:t>
      </w:r>
      <w:r w:rsidR="002E2C70">
        <w:rPr>
          <w:rFonts w:cs="Times New Roman"/>
          <w:szCs w:val="24"/>
        </w:rPr>
        <w:t xml:space="preserve">, sum </w:t>
      </w:r>
      <w:r w:rsidR="002E2C70" w:rsidRPr="002E2C70">
        <w:rPr>
          <w:rFonts w:cs="Times New Roman"/>
          <w:szCs w:val="24"/>
        </w:rPr>
        <w:t>eru grundaðar á eina meginreglu um vatntøtt skott. Tað merkir, at í eini kreppustøðu skal einstaka felagið undir eftirliti kunna verjast/avbyrgjast í mun til hini feløgini í samtøkuni, og skal sjálvstøðugt kunna halda fram við virkseminum.</w:t>
      </w:r>
    </w:p>
    <w:p w:rsidR="002E2C70" w:rsidRDefault="002E2C70" w:rsidP="00133E72">
      <w:pPr>
        <w:spacing w:after="0"/>
        <w:jc w:val="both"/>
        <w:rPr>
          <w:rFonts w:cs="Times New Roman"/>
          <w:szCs w:val="24"/>
        </w:rPr>
      </w:pPr>
    </w:p>
    <w:p w:rsidR="000C5AD0" w:rsidRDefault="000C5AD0" w:rsidP="008B5E8C">
      <w:pPr>
        <w:spacing w:after="0"/>
        <w:jc w:val="both"/>
        <w:rPr>
          <w:rFonts w:cs="Times New Roman"/>
          <w:szCs w:val="24"/>
        </w:rPr>
      </w:pPr>
      <w:r>
        <w:rPr>
          <w:rFonts w:cs="Times New Roman"/>
          <w:szCs w:val="24"/>
        </w:rPr>
        <w:t xml:space="preserve">Mett verður, at galdandi lóggáva ikki er nøktandi at byrgja upp fyri tí váða, sum er í Betri samtøkuni. </w:t>
      </w:r>
    </w:p>
    <w:p w:rsidR="000C5AD0" w:rsidRDefault="000C5AD0" w:rsidP="008B5E8C">
      <w:pPr>
        <w:spacing w:after="0"/>
        <w:jc w:val="both"/>
        <w:rPr>
          <w:rFonts w:cs="Times New Roman"/>
          <w:szCs w:val="24"/>
        </w:rPr>
      </w:pPr>
    </w:p>
    <w:p w:rsidR="00DB6CA6" w:rsidRDefault="006A0E1D" w:rsidP="008B5E8C">
      <w:pPr>
        <w:spacing w:after="0"/>
        <w:jc w:val="both"/>
        <w:rPr>
          <w:rFonts w:cs="Times New Roman"/>
          <w:szCs w:val="24"/>
        </w:rPr>
      </w:pPr>
      <w:r>
        <w:rPr>
          <w:rFonts w:cs="Times New Roman"/>
          <w:szCs w:val="24"/>
        </w:rPr>
        <w:t xml:space="preserve">Í Betri samtakinum eru  serlig  </w:t>
      </w:r>
      <w:r w:rsidRPr="006A0E1D">
        <w:rPr>
          <w:rFonts w:cs="Times New Roman"/>
          <w:szCs w:val="24"/>
        </w:rPr>
        <w:t>kollektiv førleikakrøv ikki sett ovastu nevndini, og persónsamanfall er í dagligu leiðsluni.</w:t>
      </w:r>
      <w:r w:rsidR="00133E72">
        <w:rPr>
          <w:rFonts w:cs="Times New Roman"/>
          <w:szCs w:val="24"/>
        </w:rPr>
        <w:t xml:space="preserve"> </w:t>
      </w:r>
      <w:r w:rsidRPr="006A0E1D">
        <w:rPr>
          <w:rFonts w:cs="Times New Roman"/>
          <w:szCs w:val="24"/>
        </w:rPr>
        <w:t>Ein innbygdur váði er tí í samtakinum fyri vantandi sjálvstøðu í einstøku feløgunum og fyri, at trupulleikar í einum parti av samtøkuni kunnu smitta aðrar partar. Við verandi samtaksbygnaði er eisini ein vandi fyri, at OT í einari neyðstøðu undir eini bankakreppu við lánsveiting ella veðseting koma sær í vanda fyri at missa tey virðir, ið liggja í tryggingarfeløgunum.</w:t>
      </w:r>
      <w:r w:rsidR="00133E72">
        <w:rPr>
          <w:rFonts w:cs="Times New Roman"/>
          <w:szCs w:val="24"/>
        </w:rPr>
        <w:t xml:space="preserve"> </w:t>
      </w:r>
      <w:r w:rsidR="000E4A98">
        <w:rPr>
          <w:rFonts w:cs="Times New Roman"/>
          <w:szCs w:val="24"/>
        </w:rPr>
        <w:t>Harum</w:t>
      </w:r>
      <w:r w:rsidR="00DB6CA6">
        <w:rPr>
          <w:rFonts w:cs="Times New Roman"/>
          <w:szCs w:val="24"/>
        </w:rPr>
        <w:t xml:space="preserve">framt </w:t>
      </w:r>
      <w:r w:rsidR="000E4A98">
        <w:rPr>
          <w:rFonts w:cs="Times New Roman"/>
          <w:szCs w:val="24"/>
        </w:rPr>
        <w:t xml:space="preserve">eru ógreið </w:t>
      </w:r>
      <w:r w:rsidR="00DB6CA6">
        <w:rPr>
          <w:rFonts w:cs="Times New Roman"/>
          <w:szCs w:val="24"/>
        </w:rPr>
        <w:t>eftirlit</w:t>
      </w:r>
      <w:r w:rsidR="000E4A98">
        <w:rPr>
          <w:rFonts w:cs="Times New Roman"/>
          <w:szCs w:val="24"/>
        </w:rPr>
        <w:t>s</w:t>
      </w:r>
      <w:r w:rsidR="00DB6CA6">
        <w:rPr>
          <w:rFonts w:cs="Times New Roman"/>
          <w:szCs w:val="24"/>
        </w:rPr>
        <w:t>viðurskifti</w:t>
      </w:r>
      <w:r w:rsidR="000E4A98">
        <w:rPr>
          <w:rFonts w:cs="Times New Roman"/>
          <w:szCs w:val="24"/>
        </w:rPr>
        <w:t xml:space="preserve"> og serlig eigaraviðurskifti í </w:t>
      </w:r>
      <w:r w:rsidR="00F477B9">
        <w:rPr>
          <w:rFonts w:cs="Times New Roman"/>
          <w:szCs w:val="24"/>
        </w:rPr>
        <w:t>OT.</w:t>
      </w:r>
    </w:p>
    <w:p w:rsidR="00DB6CA6" w:rsidRDefault="00DB6CA6" w:rsidP="008B5E8C">
      <w:pPr>
        <w:spacing w:after="0"/>
        <w:jc w:val="both"/>
        <w:rPr>
          <w:rFonts w:cs="Times New Roman"/>
          <w:szCs w:val="24"/>
        </w:rPr>
      </w:pPr>
    </w:p>
    <w:p w:rsidR="00A53425" w:rsidRPr="00A53425" w:rsidRDefault="00A53425" w:rsidP="00A53425">
      <w:pPr>
        <w:spacing w:after="0"/>
        <w:jc w:val="both"/>
        <w:rPr>
          <w:rFonts w:cs="Times New Roman"/>
          <w:szCs w:val="24"/>
        </w:rPr>
      </w:pPr>
      <w:r w:rsidRPr="00A53425">
        <w:rPr>
          <w:rFonts w:cs="Times New Roman"/>
          <w:szCs w:val="24"/>
        </w:rPr>
        <w:t>Endamálið við lógarbroytingunum er at byrgja upp</w:t>
      </w:r>
      <w:r w:rsidR="003A52DD">
        <w:rPr>
          <w:rFonts w:cs="Times New Roman"/>
          <w:szCs w:val="24"/>
        </w:rPr>
        <w:t xml:space="preserve"> </w:t>
      </w:r>
      <w:r w:rsidRPr="00A53425">
        <w:rPr>
          <w:rFonts w:cs="Times New Roman"/>
          <w:szCs w:val="24"/>
        </w:rPr>
        <w:t xml:space="preserve">fyri </w:t>
      </w:r>
      <w:r w:rsidR="003A52DD">
        <w:rPr>
          <w:rFonts w:cs="Times New Roman"/>
          <w:szCs w:val="24"/>
        </w:rPr>
        <w:t xml:space="preserve">nevnda </w:t>
      </w:r>
      <w:r w:rsidRPr="00A53425">
        <w:rPr>
          <w:rFonts w:cs="Times New Roman"/>
          <w:szCs w:val="24"/>
        </w:rPr>
        <w:t>váð</w:t>
      </w:r>
      <w:r w:rsidR="003A52DD">
        <w:rPr>
          <w:rFonts w:cs="Times New Roman"/>
          <w:szCs w:val="24"/>
        </w:rPr>
        <w:t>a</w:t>
      </w:r>
      <w:r w:rsidR="00133E72">
        <w:rPr>
          <w:rFonts w:cs="Times New Roman"/>
          <w:szCs w:val="24"/>
        </w:rPr>
        <w:t xml:space="preserve">, </w:t>
      </w:r>
      <w:r w:rsidR="00133E72" w:rsidRPr="00133E72">
        <w:rPr>
          <w:rFonts w:cs="Times New Roman"/>
          <w:szCs w:val="24"/>
        </w:rPr>
        <w:t>og fyri at verja tryggingarpartin í OT í mun til bankapartin soleiðis, at</w:t>
      </w:r>
      <w:r w:rsidR="00F477B9">
        <w:rPr>
          <w:rFonts w:cs="Times New Roman"/>
          <w:szCs w:val="24"/>
        </w:rPr>
        <w:t xml:space="preserve"> OT kann halda fram við tryggin</w:t>
      </w:r>
      <w:r w:rsidR="00133E72" w:rsidRPr="00133E72">
        <w:rPr>
          <w:rFonts w:cs="Times New Roman"/>
          <w:szCs w:val="24"/>
        </w:rPr>
        <w:t>garvirkseminum, um ein bankakreppa kemur í Betri Bank</w:t>
      </w:r>
      <w:r w:rsidR="0028586E">
        <w:rPr>
          <w:rFonts w:cs="Times New Roman"/>
          <w:szCs w:val="24"/>
        </w:rPr>
        <w:t>a. Tí</w:t>
      </w:r>
      <w:r w:rsidR="00133E72" w:rsidRPr="00133E72">
        <w:rPr>
          <w:rFonts w:cs="Times New Roman"/>
          <w:szCs w:val="24"/>
        </w:rPr>
        <w:t xml:space="preserve"> verður skotið upp, at seta í vinnufyritøkulógina</w:t>
      </w:r>
      <w:r w:rsidR="00133E72">
        <w:rPr>
          <w:rFonts w:cs="Times New Roman"/>
          <w:szCs w:val="24"/>
        </w:rPr>
        <w:t xml:space="preserve"> </w:t>
      </w:r>
      <w:r w:rsidRPr="00A53425">
        <w:rPr>
          <w:rFonts w:cs="Times New Roman"/>
          <w:szCs w:val="24"/>
        </w:rPr>
        <w:t>krav</w:t>
      </w:r>
      <w:r w:rsidR="00133E72">
        <w:rPr>
          <w:rFonts w:cs="Times New Roman"/>
          <w:szCs w:val="24"/>
        </w:rPr>
        <w:t xml:space="preserve"> </w:t>
      </w:r>
      <w:r w:rsidRPr="00A53425">
        <w:rPr>
          <w:rFonts w:cs="Times New Roman"/>
          <w:szCs w:val="24"/>
        </w:rPr>
        <w:t>um:</w:t>
      </w:r>
    </w:p>
    <w:p w:rsidR="00A53425" w:rsidRPr="003A52DD" w:rsidRDefault="00A53425" w:rsidP="003A52DD">
      <w:pPr>
        <w:pStyle w:val="Listeafsnit"/>
        <w:numPr>
          <w:ilvl w:val="0"/>
          <w:numId w:val="17"/>
        </w:numPr>
        <w:spacing w:after="0"/>
        <w:jc w:val="both"/>
        <w:rPr>
          <w:rFonts w:cs="Times New Roman"/>
          <w:szCs w:val="24"/>
        </w:rPr>
      </w:pPr>
      <w:r w:rsidRPr="003A52DD">
        <w:rPr>
          <w:rFonts w:cs="Times New Roman"/>
          <w:szCs w:val="24"/>
        </w:rPr>
        <w:lastRenderedPageBreak/>
        <w:t xml:space="preserve">at tryggingarvirksemi og bankavirksemi skulu vera í hvør sínum haldfelagsskapi - ávikavist einum tryggingarhaldfelagsskapi og einum peningastovnshaldfelagsskapi, </w:t>
      </w:r>
    </w:p>
    <w:p w:rsidR="00A53425" w:rsidRPr="003A52DD" w:rsidRDefault="00A53425" w:rsidP="003A52DD">
      <w:pPr>
        <w:pStyle w:val="Listeafsnit"/>
        <w:numPr>
          <w:ilvl w:val="0"/>
          <w:numId w:val="17"/>
        </w:numPr>
        <w:spacing w:after="0"/>
        <w:jc w:val="both"/>
        <w:rPr>
          <w:rFonts w:cs="Times New Roman"/>
          <w:szCs w:val="24"/>
        </w:rPr>
      </w:pPr>
      <w:r w:rsidRPr="003A52DD">
        <w:rPr>
          <w:rFonts w:cs="Times New Roman"/>
          <w:szCs w:val="24"/>
        </w:rPr>
        <w:t xml:space="preserve">at avmarkingar verða gjørdar í møguleikanum hjá </w:t>
      </w:r>
      <w:r w:rsidR="0028586E">
        <w:rPr>
          <w:rFonts w:cs="Times New Roman"/>
          <w:szCs w:val="24"/>
        </w:rPr>
        <w:t xml:space="preserve">OT </w:t>
      </w:r>
      <w:r w:rsidRPr="003A52DD">
        <w:rPr>
          <w:rFonts w:cs="Times New Roman"/>
          <w:szCs w:val="24"/>
        </w:rPr>
        <w:t xml:space="preserve">at </w:t>
      </w:r>
      <w:r w:rsidR="0028586E">
        <w:rPr>
          <w:rFonts w:cs="Times New Roman"/>
          <w:szCs w:val="24"/>
        </w:rPr>
        <w:t>læna</w:t>
      </w:r>
      <w:r w:rsidRPr="003A52DD">
        <w:rPr>
          <w:rFonts w:cs="Times New Roman"/>
          <w:szCs w:val="24"/>
        </w:rPr>
        <w:t xml:space="preserve"> upp á ella setur í veð partabrøvini í tryggingarfeløgunum fyri at útvega meira pening til at skjóta inn í ein kreppuraktan banka</w:t>
      </w:r>
      <w:r w:rsidR="0028586E">
        <w:rPr>
          <w:rFonts w:cs="Times New Roman"/>
          <w:szCs w:val="24"/>
        </w:rPr>
        <w:t>,</w:t>
      </w:r>
      <w:r w:rsidRPr="003A52DD">
        <w:rPr>
          <w:rFonts w:cs="Times New Roman"/>
          <w:szCs w:val="24"/>
        </w:rPr>
        <w:t xml:space="preserve">      </w:t>
      </w:r>
    </w:p>
    <w:p w:rsidR="00A53425" w:rsidRPr="003A52DD" w:rsidRDefault="00A53425" w:rsidP="003A52DD">
      <w:pPr>
        <w:pStyle w:val="Listeafsnit"/>
        <w:numPr>
          <w:ilvl w:val="0"/>
          <w:numId w:val="17"/>
        </w:numPr>
        <w:spacing w:after="0"/>
        <w:jc w:val="both"/>
        <w:rPr>
          <w:rFonts w:cs="Times New Roman"/>
          <w:szCs w:val="24"/>
        </w:rPr>
      </w:pPr>
      <w:r w:rsidRPr="003A52DD">
        <w:rPr>
          <w:rFonts w:cs="Times New Roman"/>
          <w:szCs w:val="24"/>
        </w:rPr>
        <w:t>a</w:t>
      </w:r>
      <w:r w:rsidR="0028586E">
        <w:rPr>
          <w:rFonts w:cs="Times New Roman"/>
          <w:szCs w:val="24"/>
        </w:rPr>
        <w:t>t einstøku feløgunum í samtøkuni</w:t>
      </w:r>
      <w:r w:rsidRPr="003A52DD">
        <w:rPr>
          <w:rFonts w:cs="Times New Roman"/>
          <w:szCs w:val="24"/>
        </w:rPr>
        <w:t xml:space="preserve"> verður tryggjað neyðuga sjálvstøðu við avmarkingum í møguleikunum fyri persónsamanfalli í feløgum í samtøkuni,</w:t>
      </w:r>
    </w:p>
    <w:p w:rsidR="00A53425" w:rsidRPr="003A52DD" w:rsidRDefault="00A53425" w:rsidP="003A52DD">
      <w:pPr>
        <w:pStyle w:val="Listeafsnit"/>
        <w:numPr>
          <w:ilvl w:val="0"/>
          <w:numId w:val="17"/>
        </w:numPr>
        <w:spacing w:after="0"/>
        <w:jc w:val="both"/>
        <w:rPr>
          <w:rFonts w:cs="Times New Roman"/>
          <w:szCs w:val="24"/>
        </w:rPr>
      </w:pPr>
      <w:r w:rsidRPr="003A52DD">
        <w:rPr>
          <w:rFonts w:cs="Times New Roman"/>
          <w:szCs w:val="24"/>
        </w:rPr>
        <w:t xml:space="preserve">at tað er nøktandi førleiki í nevndini í </w:t>
      </w:r>
      <w:r w:rsidR="0028586E">
        <w:rPr>
          <w:rFonts w:cs="Times New Roman"/>
          <w:szCs w:val="24"/>
        </w:rPr>
        <w:t>OT.</w:t>
      </w:r>
    </w:p>
    <w:p w:rsidR="00A53425" w:rsidRPr="00A53425" w:rsidRDefault="00A53425" w:rsidP="00A53425">
      <w:pPr>
        <w:spacing w:after="0"/>
        <w:jc w:val="both"/>
        <w:rPr>
          <w:rFonts w:cs="Times New Roman"/>
          <w:szCs w:val="24"/>
        </w:rPr>
      </w:pPr>
    </w:p>
    <w:p w:rsidR="00A53425" w:rsidRPr="00A53425" w:rsidRDefault="00A53425" w:rsidP="00A53425">
      <w:pPr>
        <w:spacing w:after="0"/>
        <w:jc w:val="both"/>
        <w:rPr>
          <w:rFonts w:cs="Times New Roman"/>
          <w:szCs w:val="24"/>
        </w:rPr>
      </w:pPr>
      <w:r w:rsidRPr="00A53425">
        <w:rPr>
          <w:rFonts w:cs="Times New Roman"/>
          <w:szCs w:val="24"/>
        </w:rPr>
        <w:t xml:space="preserve">Harumframt er við </w:t>
      </w:r>
      <w:r w:rsidR="00133E72">
        <w:rPr>
          <w:rFonts w:cs="Times New Roman"/>
          <w:szCs w:val="24"/>
        </w:rPr>
        <w:t>uppskotinum til løgtingslóg um broyting í løgtingslóg um tryggingarvirksemi (</w:t>
      </w:r>
      <w:r w:rsidR="0028586E">
        <w:rPr>
          <w:rFonts w:cs="Times New Roman"/>
          <w:szCs w:val="24"/>
        </w:rPr>
        <w:t>hereftir</w:t>
      </w:r>
      <w:r w:rsidR="00133E72">
        <w:rPr>
          <w:rFonts w:cs="Times New Roman"/>
          <w:szCs w:val="24"/>
        </w:rPr>
        <w:t xml:space="preserve"> </w:t>
      </w:r>
      <w:r w:rsidR="0028586E">
        <w:rPr>
          <w:rFonts w:cs="Times New Roman"/>
          <w:szCs w:val="24"/>
        </w:rPr>
        <w:t>tryggingarlógin</w:t>
      </w:r>
      <w:r w:rsidR="00133E72">
        <w:rPr>
          <w:rFonts w:cs="Times New Roman"/>
          <w:szCs w:val="24"/>
        </w:rPr>
        <w:t xml:space="preserve">) </w:t>
      </w:r>
      <w:r w:rsidRPr="00A53425">
        <w:rPr>
          <w:rFonts w:cs="Times New Roman"/>
          <w:szCs w:val="24"/>
        </w:rPr>
        <w:t>tryggjað betri samsvar millum váða og kapitakrøv</w:t>
      </w:r>
      <w:r w:rsidR="00133E72">
        <w:rPr>
          <w:rFonts w:cs="Times New Roman"/>
          <w:szCs w:val="24"/>
        </w:rPr>
        <w:t>,</w:t>
      </w:r>
      <w:r w:rsidRPr="00A53425">
        <w:rPr>
          <w:rFonts w:cs="Times New Roman"/>
          <w:szCs w:val="24"/>
        </w:rPr>
        <w:t xml:space="preserve"> umframt at </w:t>
      </w:r>
      <w:r w:rsidR="00133E72">
        <w:rPr>
          <w:rFonts w:cs="Times New Roman"/>
          <w:szCs w:val="24"/>
        </w:rPr>
        <w:t xml:space="preserve">serlig </w:t>
      </w:r>
      <w:r w:rsidRPr="00A53425">
        <w:rPr>
          <w:rFonts w:cs="Times New Roman"/>
          <w:szCs w:val="24"/>
        </w:rPr>
        <w:t xml:space="preserve">førleikakrøv verða sett leiðslum í </w:t>
      </w:r>
      <w:r w:rsidR="00133E72">
        <w:rPr>
          <w:rFonts w:cs="Times New Roman"/>
          <w:szCs w:val="24"/>
        </w:rPr>
        <w:t>t</w:t>
      </w:r>
      <w:r w:rsidRPr="00A53425">
        <w:rPr>
          <w:rFonts w:cs="Times New Roman"/>
          <w:szCs w:val="24"/>
        </w:rPr>
        <w:t xml:space="preserve">ryggingarhaldfeløgum. </w:t>
      </w:r>
    </w:p>
    <w:p w:rsidR="00A53425" w:rsidRPr="00A53425" w:rsidRDefault="00A53425" w:rsidP="00A53425">
      <w:pPr>
        <w:spacing w:after="0"/>
        <w:jc w:val="both"/>
        <w:rPr>
          <w:rFonts w:cs="Times New Roman"/>
          <w:szCs w:val="24"/>
        </w:rPr>
      </w:pPr>
    </w:p>
    <w:p w:rsidR="00A53425" w:rsidRPr="00A53425" w:rsidRDefault="00A53425" w:rsidP="00A53425">
      <w:pPr>
        <w:spacing w:after="0"/>
        <w:jc w:val="both"/>
        <w:rPr>
          <w:rFonts w:cs="Times New Roman"/>
          <w:szCs w:val="24"/>
        </w:rPr>
      </w:pPr>
      <w:r w:rsidRPr="00A53425">
        <w:rPr>
          <w:rFonts w:cs="Times New Roman"/>
          <w:szCs w:val="24"/>
        </w:rPr>
        <w:t xml:space="preserve">Við nevndu broytingum viðvirkar uppskotið til at fremja fíggjarligt støðufesti og álitið á tryggingarfeløg og marknaðir.  </w:t>
      </w:r>
    </w:p>
    <w:p w:rsidR="00A53425" w:rsidRPr="00A53425" w:rsidRDefault="00A53425" w:rsidP="00A53425">
      <w:pPr>
        <w:spacing w:after="0"/>
        <w:jc w:val="both"/>
        <w:rPr>
          <w:rFonts w:cs="Times New Roman"/>
          <w:szCs w:val="24"/>
        </w:rPr>
      </w:pPr>
    </w:p>
    <w:p w:rsidR="00941693" w:rsidRDefault="00ED0A64" w:rsidP="00086403">
      <w:pPr>
        <w:spacing w:after="0"/>
        <w:rPr>
          <w:rFonts w:cs="Times New Roman"/>
          <w:b/>
          <w:szCs w:val="24"/>
        </w:rPr>
      </w:pPr>
      <w:r>
        <w:rPr>
          <w:rFonts w:cs="Times New Roman"/>
          <w:b/>
          <w:szCs w:val="24"/>
        </w:rPr>
        <w:t>1.3</w:t>
      </w:r>
      <w:r w:rsidR="0076665D" w:rsidRPr="00771B25">
        <w:rPr>
          <w:rFonts w:cs="Times New Roman"/>
          <w:b/>
          <w:szCs w:val="24"/>
        </w:rPr>
        <w:t xml:space="preserve">. </w:t>
      </w:r>
      <w:r w:rsidR="00147277">
        <w:rPr>
          <w:rFonts w:cs="Times New Roman"/>
          <w:b/>
          <w:szCs w:val="24"/>
        </w:rPr>
        <w:t>Betri samtakið</w:t>
      </w:r>
    </w:p>
    <w:p w:rsidR="00941693" w:rsidRPr="00941693" w:rsidRDefault="00941693" w:rsidP="00941693">
      <w:pPr>
        <w:spacing w:after="0"/>
        <w:rPr>
          <w:rFonts w:cs="Times New Roman"/>
          <w:szCs w:val="24"/>
        </w:rPr>
      </w:pPr>
      <w:r w:rsidRPr="00941693">
        <w:rPr>
          <w:rFonts w:cs="Times New Roman"/>
          <w:szCs w:val="24"/>
        </w:rPr>
        <w:t>TF samtakið hevur í mars í ár fingið fingið nýggjan leiðslubygnað</w:t>
      </w:r>
      <w:r w:rsidR="00147277">
        <w:rPr>
          <w:rFonts w:cs="Times New Roman"/>
          <w:szCs w:val="24"/>
        </w:rPr>
        <w:t xml:space="preserve"> og samleika</w:t>
      </w:r>
      <w:r w:rsidR="00BA22D0">
        <w:rPr>
          <w:rFonts w:cs="Times New Roman"/>
          <w:szCs w:val="24"/>
        </w:rPr>
        <w:t>n</w:t>
      </w:r>
      <w:r w:rsidR="00147277">
        <w:rPr>
          <w:rFonts w:cs="Times New Roman"/>
          <w:szCs w:val="24"/>
        </w:rPr>
        <w:t xml:space="preserve"> “Betri”</w:t>
      </w:r>
      <w:r w:rsidR="00BA22D0">
        <w:rPr>
          <w:rFonts w:cs="Times New Roman"/>
          <w:szCs w:val="24"/>
        </w:rPr>
        <w:t>.</w:t>
      </w:r>
    </w:p>
    <w:p w:rsidR="00941693" w:rsidRPr="00941693" w:rsidRDefault="00941693" w:rsidP="00941693">
      <w:pPr>
        <w:spacing w:after="0"/>
        <w:rPr>
          <w:rFonts w:cs="Times New Roman"/>
          <w:szCs w:val="24"/>
        </w:rPr>
      </w:pPr>
    </w:p>
    <w:p w:rsidR="00941693" w:rsidRPr="00941693" w:rsidRDefault="00941693" w:rsidP="00941693">
      <w:pPr>
        <w:spacing w:after="0"/>
        <w:rPr>
          <w:rFonts w:cs="Times New Roman"/>
          <w:szCs w:val="24"/>
        </w:rPr>
      </w:pPr>
      <w:r w:rsidRPr="00941693">
        <w:rPr>
          <w:rFonts w:cs="Times New Roman"/>
          <w:szCs w:val="24"/>
        </w:rPr>
        <w:t xml:space="preserve">Í Betri samtakinum eru ávikavist </w:t>
      </w:r>
    </w:p>
    <w:p w:rsidR="00941693" w:rsidRPr="00941693" w:rsidRDefault="00941693" w:rsidP="00941693">
      <w:pPr>
        <w:pStyle w:val="Listeafsnit"/>
        <w:numPr>
          <w:ilvl w:val="0"/>
          <w:numId w:val="7"/>
        </w:numPr>
        <w:spacing w:after="0"/>
        <w:rPr>
          <w:rFonts w:cs="Times New Roman"/>
          <w:szCs w:val="24"/>
        </w:rPr>
      </w:pPr>
      <w:r w:rsidRPr="00941693">
        <w:rPr>
          <w:rFonts w:cs="Times New Roman"/>
          <w:szCs w:val="24"/>
        </w:rPr>
        <w:t>OT</w:t>
      </w:r>
      <w:r>
        <w:rPr>
          <w:rFonts w:cs="Times New Roman"/>
          <w:szCs w:val="24"/>
        </w:rPr>
        <w:t xml:space="preserve"> </w:t>
      </w:r>
      <w:r w:rsidRPr="00941693">
        <w:rPr>
          <w:rFonts w:cs="Times New Roman"/>
          <w:szCs w:val="24"/>
        </w:rPr>
        <w:t xml:space="preserve">f.v.a.á (felag við avmarkaðari ábyrgd), </w:t>
      </w:r>
    </w:p>
    <w:p w:rsidR="00941693" w:rsidRPr="00941693" w:rsidRDefault="00941693" w:rsidP="00941693">
      <w:pPr>
        <w:pStyle w:val="Listeafsnit"/>
        <w:numPr>
          <w:ilvl w:val="0"/>
          <w:numId w:val="7"/>
        </w:numPr>
        <w:spacing w:after="0"/>
        <w:rPr>
          <w:rFonts w:cs="Times New Roman"/>
          <w:szCs w:val="24"/>
        </w:rPr>
      </w:pPr>
      <w:r w:rsidRPr="00941693">
        <w:rPr>
          <w:rFonts w:cs="Times New Roman"/>
          <w:szCs w:val="24"/>
        </w:rPr>
        <w:t xml:space="preserve">haldfelagið Betri P/F, </w:t>
      </w:r>
    </w:p>
    <w:p w:rsidR="00941693" w:rsidRPr="00941693" w:rsidRDefault="00941693" w:rsidP="00941693">
      <w:pPr>
        <w:pStyle w:val="Listeafsnit"/>
        <w:numPr>
          <w:ilvl w:val="0"/>
          <w:numId w:val="7"/>
        </w:numPr>
        <w:spacing w:after="0"/>
        <w:rPr>
          <w:rFonts w:cs="Times New Roman"/>
          <w:szCs w:val="24"/>
        </w:rPr>
      </w:pPr>
      <w:r w:rsidRPr="00941693">
        <w:rPr>
          <w:rFonts w:cs="Times New Roman"/>
          <w:szCs w:val="24"/>
        </w:rPr>
        <w:t xml:space="preserve">tryggingarfeløgini Betri Trygging P/F </w:t>
      </w:r>
      <w:r w:rsidR="00BD2D8E">
        <w:rPr>
          <w:rFonts w:cs="Times New Roman"/>
          <w:szCs w:val="24"/>
        </w:rPr>
        <w:t xml:space="preserve">og </w:t>
      </w:r>
      <w:r w:rsidRPr="00941693">
        <w:rPr>
          <w:rFonts w:cs="Times New Roman"/>
          <w:szCs w:val="24"/>
        </w:rPr>
        <w:t xml:space="preserve">Betri Pensjón P/F </w:t>
      </w:r>
    </w:p>
    <w:p w:rsidR="00941693" w:rsidRPr="00941693" w:rsidRDefault="00941693" w:rsidP="00941693">
      <w:pPr>
        <w:pStyle w:val="Listeafsnit"/>
        <w:numPr>
          <w:ilvl w:val="0"/>
          <w:numId w:val="7"/>
        </w:numPr>
        <w:spacing w:after="0"/>
        <w:rPr>
          <w:rFonts w:cs="Times New Roman"/>
          <w:szCs w:val="24"/>
        </w:rPr>
      </w:pPr>
      <w:r w:rsidRPr="00941693">
        <w:rPr>
          <w:rFonts w:cs="Times New Roman"/>
          <w:szCs w:val="24"/>
        </w:rPr>
        <w:t xml:space="preserve">Harumframt eru Betri Banki P/F og </w:t>
      </w:r>
      <w:r>
        <w:rPr>
          <w:rFonts w:cs="Times New Roman"/>
          <w:szCs w:val="24"/>
        </w:rPr>
        <w:t xml:space="preserve">Betri heim </w:t>
      </w:r>
      <w:r w:rsidRPr="00941693">
        <w:rPr>
          <w:rFonts w:cs="Times New Roman"/>
          <w:szCs w:val="24"/>
        </w:rPr>
        <w:t xml:space="preserve"> Sp/F partur av samtakinum.</w:t>
      </w:r>
    </w:p>
    <w:p w:rsidR="00941693" w:rsidRPr="00941693" w:rsidRDefault="00941693" w:rsidP="00941693">
      <w:pPr>
        <w:spacing w:after="0"/>
        <w:rPr>
          <w:rFonts w:cs="Times New Roman"/>
          <w:szCs w:val="24"/>
        </w:rPr>
      </w:pPr>
    </w:p>
    <w:p w:rsidR="00941693" w:rsidRPr="00941693" w:rsidRDefault="00941693" w:rsidP="00941693">
      <w:pPr>
        <w:spacing w:after="0"/>
        <w:rPr>
          <w:rFonts w:cs="Times New Roman"/>
          <w:i/>
          <w:szCs w:val="24"/>
        </w:rPr>
      </w:pPr>
      <w:r w:rsidRPr="00941693">
        <w:rPr>
          <w:rFonts w:cs="Times New Roman"/>
          <w:i/>
          <w:szCs w:val="24"/>
        </w:rPr>
        <w:t>Ognarfelag Tryggingartakaranna</w:t>
      </w:r>
    </w:p>
    <w:p w:rsidR="00941693" w:rsidRPr="00941693" w:rsidRDefault="00941693" w:rsidP="00941693">
      <w:pPr>
        <w:spacing w:after="0"/>
        <w:rPr>
          <w:rFonts w:cs="Times New Roman"/>
          <w:szCs w:val="24"/>
        </w:rPr>
      </w:pPr>
      <w:r w:rsidRPr="00941693">
        <w:rPr>
          <w:rFonts w:cs="Times New Roman"/>
          <w:szCs w:val="24"/>
        </w:rPr>
        <w:t xml:space="preserve">Sambært viðtøkunum í OT eru allir tryggingartakarar í </w:t>
      </w:r>
      <w:r>
        <w:rPr>
          <w:rFonts w:cs="Times New Roman"/>
          <w:szCs w:val="24"/>
        </w:rPr>
        <w:t xml:space="preserve">Betri Trygging, </w:t>
      </w:r>
      <w:r w:rsidRPr="00941693">
        <w:rPr>
          <w:rFonts w:cs="Times New Roman"/>
          <w:szCs w:val="24"/>
        </w:rPr>
        <w:t xml:space="preserve">sum hava fastan bústað ella heimstað í Føroyum, limir í felagnum. 35 </w:t>
      </w:r>
      <w:r w:rsidR="0028586E">
        <w:rPr>
          <w:rFonts w:cs="Times New Roman"/>
          <w:szCs w:val="24"/>
        </w:rPr>
        <w:t xml:space="preserve">limir verða valdir </w:t>
      </w:r>
      <w:r w:rsidRPr="00941693">
        <w:rPr>
          <w:rFonts w:cs="Times New Roman"/>
          <w:szCs w:val="24"/>
        </w:rPr>
        <w:t>í eitt umboðsráð, sum umboðar limirnar á aðalfundinum</w:t>
      </w:r>
      <w:r w:rsidR="0028586E">
        <w:rPr>
          <w:rFonts w:cs="Times New Roman"/>
          <w:szCs w:val="24"/>
        </w:rPr>
        <w:t>.</w:t>
      </w:r>
    </w:p>
    <w:p w:rsidR="00941693" w:rsidRPr="00941693" w:rsidRDefault="00941693" w:rsidP="00941693">
      <w:pPr>
        <w:spacing w:after="0"/>
        <w:rPr>
          <w:rFonts w:cs="Times New Roman"/>
          <w:szCs w:val="24"/>
        </w:rPr>
      </w:pPr>
    </w:p>
    <w:p w:rsidR="00941693" w:rsidRPr="00941693" w:rsidRDefault="00941693" w:rsidP="00941693">
      <w:pPr>
        <w:spacing w:after="0"/>
        <w:rPr>
          <w:rFonts w:cs="Times New Roman"/>
          <w:szCs w:val="24"/>
        </w:rPr>
      </w:pPr>
      <w:r w:rsidRPr="00941693">
        <w:rPr>
          <w:rFonts w:cs="Times New Roman"/>
          <w:szCs w:val="24"/>
        </w:rPr>
        <w:t>Umboðsráðið setur ein tilráðingarbólk, sum m.a. hevu</w:t>
      </w:r>
      <w:r>
        <w:rPr>
          <w:rFonts w:cs="Times New Roman"/>
          <w:szCs w:val="24"/>
        </w:rPr>
        <w:t>r til uppgávu at fyrireika eitt</w:t>
      </w:r>
      <w:r w:rsidRPr="00941693">
        <w:rPr>
          <w:rFonts w:cs="Times New Roman"/>
          <w:szCs w:val="24"/>
        </w:rPr>
        <w:t xml:space="preserve"> ikki</w:t>
      </w:r>
      <w:r w:rsidR="00BA22D0">
        <w:rPr>
          <w:rFonts w:cs="Times New Roman"/>
          <w:szCs w:val="24"/>
        </w:rPr>
        <w:t>-</w:t>
      </w:r>
      <w:r w:rsidRPr="00941693">
        <w:rPr>
          <w:rFonts w:cs="Times New Roman"/>
          <w:szCs w:val="24"/>
        </w:rPr>
        <w:t>bindand</w:t>
      </w:r>
      <w:r w:rsidR="0028586E">
        <w:rPr>
          <w:rFonts w:cs="Times New Roman"/>
          <w:szCs w:val="24"/>
        </w:rPr>
        <w:t>i tilmæli til nevndarlimir í OT.</w:t>
      </w:r>
    </w:p>
    <w:p w:rsidR="00941693" w:rsidRPr="00941693" w:rsidRDefault="00941693" w:rsidP="00941693">
      <w:pPr>
        <w:spacing w:after="0"/>
        <w:rPr>
          <w:rFonts w:cs="Times New Roman"/>
          <w:szCs w:val="24"/>
        </w:rPr>
      </w:pPr>
    </w:p>
    <w:p w:rsidR="00941693" w:rsidRPr="00941693" w:rsidRDefault="00941693" w:rsidP="00941693">
      <w:pPr>
        <w:spacing w:after="0"/>
        <w:rPr>
          <w:rFonts w:cs="Times New Roman"/>
          <w:szCs w:val="24"/>
        </w:rPr>
      </w:pPr>
      <w:r w:rsidRPr="00941693">
        <w:rPr>
          <w:rFonts w:cs="Times New Roman"/>
          <w:szCs w:val="24"/>
        </w:rPr>
        <w:t>Umboðsráðið velur 4-6 limir í nevndina. Nevndin setur eina stjórn.</w:t>
      </w:r>
    </w:p>
    <w:p w:rsidR="00941693" w:rsidRDefault="00941693" w:rsidP="00941693">
      <w:pPr>
        <w:spacing w:after="0"/>
        <w:rPr>
          <w:rFonts w:cs="Times New Roman"/>
          <w:szCs w:val="24"/>
        </w:rPr>
      </w:pPr>
    </w:p>
    <w:p w:rsidR="00941693" w:rsidRPr="00941693" w:rsidRDefault="00941693" w:rsidP="00941693">
      <w:pPr>
        <w:spacing w:after="0"/>
        <w:rPr>
          <w:rFonts w:cs="Times New Roman"/>
          <w:szCs w:val="24"/>
        </w:rPr>
      </w:pPr>
    </w:p>
    <w:p w:rsidR="00941693" w:rsidRPr="00941693" w:rsidRDefault="00941693" w:rsidP="00941693">
      <w:pPr>
        <w:spacing w:after="0"/>
        <w:rPr>
          <w:rFonts w:cs="Times New Roman"/>
          <w:i/>
          <w:szCs w:val="24"/>
        </w:rPr>
      </w:pPr>
      <w:r w:rsidRPr="00941693">
        <w:rPr>
          <w:rFonts w:cs="Times New Roman"/>
          <w:i/>
          <w:szCs w:val="24"/>
        </w:rPr>
        <w:t>Betri P/F (fyrr TF Holding)</w:t>
      </w:r>
    </w:p>
    <w:p w:rsidR="00941693" w:rsidRPr="00147277" w:rsidRDefault="00941693" w:rsidP="00941693">
      <w:pPr>
        <w:spacing w:after="0"/>
        <w:rPr>
          <w:rFonts w:cs="Times New Roman"/>
          <w:szCs w:val="24"/>
        </w:rPr>
      </w:pPr>
      <w:r w:rsidRPr="00147277">
        <w:rPr>
          <w:rFonts w:cs="Times New Roman"/>
          <w:szCs w:val="24"/>
        </w:rPr>
        <w:t xml:space="preserve">Sambært viðtøkunum í Betri P/F sita í nevndini </w:t>
      </w:r>
      <w:r w:rsidR="002449A2">
        <w:rPr>
          <w:rFonts w:cs="Times New Roman"/>
          <w:szCs w:val="24"/>
        </w:rPr>
        <w:t>3-6 nevndarlimir valdir av aðalfundinum</w:t>
      </w:r>
      <w:r w:rsidRPr="00147277">
        <w:rPr>
          <w:rFonts w:cs="Times New Roman"/>
          <w:szCs w:val="24"/>
        </w:rPr>
        <w:t xml:space="preserve">. </w:t>
      </w:r>
      <w:r w:rsidR="002449A2">
        <w:rPr>
          <w:rFonts w:cs="Times New Roman"/>
          <w:szCs w:val="24"/>
        </w:rPr>
        <w:t>Nevndin setir eina stjórn við einum ella fleiri limum.</w:t>
      </w:r>
    </w:p>
    <w:p w:rsidR="00941693" w:rsidRPr="00941693" w:rsidRDefault="00941693" w:rsidP="00941693">
      <w:pPr>
        <w:spacing w:after="0"/>
        <w:rPr>
          <w:rFonts w:cs="Times New Roman"/>
          <w:b/>
          <w:szCs w:val="24"/>
        </w:rPr>
      </w:pPr>
    </w:p>
    <w:p w:rsidR="00941693" w:rsidRPr="00384FE8" w:rsidRDefault="00941693" w:rsidP="00941693">
      <w:pPr>
        <w:spacing w:after="0"/>
        <w:rPr>
          <w:rFonts w:cs="Times New Roman"/>
          <w:i/>
          <w:szCs w:val="24"/>
        </w:rPr>
      </w:pPr>
      <w:r w:rsidRPr="00384FE8">
        <w:rPr>
          <w:rFonts w:cs="Times New Roman"/>
          <w:i/>
          <w:szCs w:val="24"/>
        </w:rPr>
        <w:t>Betri Trygging p/f  (fyrr Tryggingarfelagið Føroyar)</w:t>
      </w:r>
    </w:p>
    <w:p w:rsidR="00941693" w:rsidRPr="00384FE8" w:rsidRDefault="00941693" w:rsidP="00941693">
      <w:pPr>
        <w:spacing w:after="0"/>
        <w:rPr>
          <w:rFonts w:cs="Times New Roman"/>
          <w:szCs w:val="24"/>
        </w:rPr>
      </w:pPr>
      <w:r w:rsidRPr="00384FE8">
        <w:rPr>
          <w:rFonts w:cs="Times New Roman"/>
          <w:szCs w:val="24"/>
        </w:rPr>
        <w:t>Sambært viðtøkunum sita 3 – 6 limir í nevndini, sum verður vald av aðalfundinum. Nevndinsetir</w:t>
      </w:r>
      <w:r w:rsidR="00E80958">
        <w:rPr>
          <w:rFonts w:cs="Times New Roman"/>
          <w:szCs w:val="24"/>
        </w:rPr>
        <w:t xml:space="preserve"> </w:t>
      </w:r>
      <w:r w:rsidRPr="00384FE8">
        <w:rPr>
          <w:rFonts w:cs="Times New Roman"/>
          <w:szCs w:val="24"/>
        </w:rPr>
        <w:t>eina stjórn við einum ella fleiri limum.</w:t>
      </w:r>
    </w:p>
    <w:p w:rsidR="00941693" w:rsidRDefault="00941693" w:rsidP="00086403">
      <w:pPr>
        <w:spacing w:after="0"/>
        <w:rPr>
          <w:rFonts w:cs="Times New Roman"/>
          <w:b/>
          <w:szCs w:val="24"/>
        </w:rPr>
      </w:pPr>
    </w:p>
    <w:p w:rsidR="00E80958" w:rsidRPr="00E80958" w:rsidRDefault="00E80958" w:rsidP="00E80958">
      <w:pPr>
        <w:spacing w:after="0"/>
        <w:rPr>
          <w:rFonts w:cs="Times New Roman"/>
          <w:i/>
          <w:szCs w:val="24"/>
        </w:rPr>
      </w:pPr>
      <w:r w:rsidRPr="00E80958">
        <w:rPr>
          <w:rFonts w:cs="Times New Roman"/>
          <w:i/>
          <w:szCs w:val="24"/>
        </w:rPr>
        <w:t>Betri Banki P/F (fyrr Eik Banki)</w:t>
      </w:r>
    </w:p>
    <w:p w:rsidR="00E80958" w:rsidRPr="00E80958" w:rsidRDefault="00E80958" w:rsidP="00E80958">
      <w:pPr>
        <w:spacing w:after="0"/>
        <w:rPr>
          <w:rFonts w:cs="Times New Roman"/>
          <w:szCs w:val="24"/>
        </w:rPr>
      </w:pPr>
      <w:r w:rsidRPr="00E80958">
        <w:rPr>
          <w:rFonts w:cs="Times New Roman"/>
          <w:szCs w:val="24"/>
        </w:rPr>
        <w:t>Sambært viðtøkunum sita 3 – 6 limir í nevndini, sum verður vald av aðalfundinum. Nevndini setir eina stjórn við 1 – 3 limum.</w:t>
      </w:r>
    </w:p>
    <w:p w:rsidR="00A906E3" w:rsidRDefault="00A906E3" w:rsidP="00086403">
      <w:pPr>
        <w:spacing w:after="0"/>
        <w:rPr>
          <w:rFonts w:cs="Times New Roman"/>
          <w:szCs w:val="24"/>
        </w:rPr>
      </w:pPr>
    </w:p>
    <w:p w:rsidR="00E80958" w:rsidRDefault="009657E3" w:rsidP="00086403">
      <w:pPr>
        <w:spacing w:after="0"/>
        <w:rPr>
          <w:rFonts w:cs="Times New Roman"/>
          <w:b/>
          <w:szCs w:val="24"/>
        </w:rPr>
      </w:pPr>
      <w:r>
        <w:rPr>
          <w:rFonts w:cs="Times New Roman"/>
          <w:szCs w:val="24"/>
        </w:rPr>
        <w:t>Sambært nýggja leiðslubygnaðinum er s</w:t>
      </w:r>
      <w:r w:rsidR="00E80958" w:rsidRPr="00E80958">
        <w:rPr>
          <w:rFonts w:cs="Times New Roman"/>
          <w:szCs w:val="24"/>
        </w:rPr>
        <w:t xml:space="preserve">tjórin í OT forstjóri </w:t>
      </w:r>
      <w:r w:rsidR="00801913">
        <w:rPr>
          <w:rFonts w:cs="Times New Roman"/>
          <w:szCs w:val="24"/>
        </w:rPr>
        <w:t xml:space="preserve">í Betri P/F og </w:t>
      </w:r>
      <w:r w:rsidR="00E80958" w:rsidRPr="00E80958">
        <w:rPr>
          <w:rFonts w:cs="Times New Roman"/>
          <w:szCs w:val="24"/>
        </w:rPr>
        <w:t>í øllum teimum undirliggjandi fíggjarfyritøkunum</w:t>
      </w:r>
      <w:r w:rsidR="0028586E">
        <w:rPr>
          <w:rFonts w:cs="Times New Roman"/>
          <w:szCs w:val="24"/>
        </w:rPr>
        <w:t>.</w:t>
      </w:r>
    </w:p>
    <w:p w:rsidR="00E80958" w:rsidRDefault="00E80958" w:rsidP="00086403">
      <w:pPr>
        <w:spacing w:after="0"/>
        <w:rPr>
          <w:rFonts w:cs="Times New Roman"/>
          <w:b/>
          <w:szCs w:val="24"/>
        </w:rPr>
      </w:pPr>
    </w:p>
    <w:p w:rsidR="00E80958" w:rsidRDefault="00D11EB5" w:rsidP="00086403">
      <w:pPr>
        <w:spacing w:after="0"/>
        <w:rPr>
          <w:rFonts w:cs="Times New Roman"/>
          <w:b/>
          <w:szCs w:val="24"/>
        </w:rPr>
      </w:pPr>
      <w:r>
        <w:rPr>
          <w:rFonts w:cs="Times New Roman"/>
          <w:b/>
          <w:szCs w:val="24"/>
        </w:rPr>
        <w:t>1.</w:t>
      </w:r>
      <w:r w:rsidR="00ED0A64">
        <w:rPr>
          <w:rFonts w:cs="Times New Roman"/>
          <w:b/>
          <w:szCs w:val="24"/>
        </w:rPr>
        <w:t>4</w:t>
      </w:r>
      <w:r>
        <w:rPr>
          <w:rFonts w:cs="Times New Roman"/>
          <w:b/>
          <w:szCs w:val="24"/>
        </w:rPr>
        <w:t xml:space="preserve">. </w:t>
      </w:r>
      <w:r w:rsidR="00A906E3">
        <w:rPr>
          <w:rFonts w:cs="Times New Roman"/>
          <w:b/>
          <w:szCs w:val="24"/>
        </w:rPr>
        <w:t>F</w:t>
      </w:r>
      <w:r w:rsidR="00A906E3" w:rsidRPr="00A906E3">
        <w:rPr>
          <w:rFonts w:cs="Times New Roman"/>
          <w:b/>
          <w:szCs w:val="24"/>
        </w:rPr>
        <w:t>íggjarligar samtøkur</w:t>
      </w:r>
      <w:r w:rsidR="00A906E3">
        <w:rPr>
          <w:rFonts w:cs="Times New Roman"/>
          <w:b/>
          <w:szCs w:val="24"/>
        </w:rPr>
        <w:t xml:space="preserve"> og samtøkuváði</w:t>
      </w:r>
    </w:p>
    <w:p w:rsidR="009C2088" w:rsidRDefault="009C2088" w:rsidP="00D11EB5">
      <w:pPr>
        <w:spacing w:after="0"/>
        <w:rPr>
          <w:rFonts w:cs="Times New Roman"/>
          <w:szCs w:val="24"/>
        </w:rPr>
      </w:pPr>
    </w:p>
    <w:p w:rsidR="00D11EB5" w:rsidRPr="00D11EB5" w:rsidRDefault="0028586E" w:rsidP="00D11EB5">
      <w:pPr>
        <w:spacing w:after="0"/>
        <w:rPr>
          <w:rFonts w:cs="Times New Roman"/>
          <w:szCs w:val="24"/>
        </w:rPr>
      </w:pPr>
      <w:r>
        <w:rPr>
          <w:rFonts w:cs="Times New Roman"/>
          <w:szCs w:val="24"/>
        </w:rPr>
        <w:t>Í Føroyum,</w:t>
      </w:r>
      <w:r w:rsidR="00D11EB5" w:rsidRPr="00D11EB5">
        <w:rPr>
          <w:rFonts w:cs="Times New Roman"/>
          <w:szCs w:val="24"/>
        </w:rPr>
        <w:t xml:space="preserve"> eins og í grannalondunum</w:t>
      </w:r>
      <w:r>
        <w:rPr>
          <w:rFonts w:cs="Times New Roman"/>
          <w:szCs w:val="24"/>
        </w:rPr>
        <w:t>,</w:t>
      </w:r>
      <w:r w:rsidR="00D11EB5" w:rsidRPr="00D11EB5">
        <w:rPr>
          <w:rFonts w:cs="Times New Roman"/>
          <w:szCs w:val="24"/>
        </w:rPr>
        <w:t xml:space="preserve"> hevur gongdin verið, at skipaðar eru sonevndar fíggjarligar samtøkur, sum bjóða fram fíggjarligar tænastur tvørturum vanlig mørk millum peningastovnsvirksemi, skaðatryggingarvirksemi, og pensjónsuppsparing.</w:t>
      </w:r>
    </w:p>
    <w:p w:rsidR="00D11EB5" w:rsidRPr="00D11EB5" w:rsidRDefault="00D11EB5" w:rsidP="00D11EB5">
      <w:pPr>
        <w:spacing w:after="0"/>
        <w:rPr>
          <w:rFonts w:cs="Times New Roman"/>
          <w:szCs w:val="24"/>
        </w:rPr>
      </w:pPr>
    </w:p>
    <w:p w:rsidR="00D11EB5" w:rsidRPr="00D11EB5" w:rsidRDefault="00D11EB5" w:rsidP="00D11EB5">
      <w:pPr>
        <w:spacing w:after="0"/>
        <w:rPr>
          <w:rFonts w:cs="Times New Roman"/>
          <w:szCs w:val="24"/>
        </w:rPr>
      </w:pPr>
      <w:r w:rsidRPr="00D11EB5">
        <w:rPr>
          <w:rFonts w:cs="Times New Roman"/>
          <w:szCs w:val="24"/>
        </w:rPr>
        <w:t>Ein samtøka er í víðum týdningi ein økonomisk eind, ein fyritøka, sum í løgfr</w:t>
      </w:r>
      <w:r w:rsidR="0028586E">
        <w:rPr>
          <w:rFonts w:cs="Times New Roman"/>
          <w:szCs w:val="24"/>
        </w:rPr>
        <w:t>øðiligum høpi eru fleiri formliga</w:t>
      </w:r>
      <w:r w:rsidRPr="00D11EB5">
        <w:rPr>
          <w:rFonts w:cs="Times New Roman"/>
          <w:szCs w:val="24"/>
        </w:rPr>
        <w:t xml:space="preserve"> sjálvstøð</w:t>
      </w:r>
      <w:r w:rsidR="009657E3">
        <w:rPr>
          <w:rFonts w:cs="Times New Roman"/>
          <w:szCs w:val="24"/>
        </w:rPr>
        <w:t>ug</w:t>
      </w:r>
      <w:r w:rsidRPr="00D11EB5">
        <w:rPr>
          <w:rFonts w:cs="Times New Roman"/>
          <w:szCs w:val="24"/>
        </w:rPr>
        <w:t xml:space="preserve">ir løgfrøðiligir persónar. Fyritøkurnar </w:t>
      </w:r>
      <w:r w:rsidR="00457B27">
        <w:rPr>
          <w:rFonts w:cs="Times New Roman"/>
          <w:szCs w:val="24"/>
        </w:rPr>
        <w:t>í samtøku</w:t>
      </w:r>
      <w:r w:rsidR="009657E3">
        <w:rPr>
          <w:rFonts w:cs="Times New Roman"/>
          <w:szCs w:val="24"/>
        </w:rPr>
        <w:t>m</w:t>
      </w:r>
      <w:r w:rsidR="00457B27">
        <w:rPr>
          <w:rFonts w:cs="Times New Roman"/>
          <w:szCs w:val="24"/>
        </w:rPr>
        <w:t xml:space="preserve"> </w:t>
      </w:r>
      <w:r w:rsidRPr="00D11EB5">
        <w:rPr>
          <w:rFonts w:cs="Times New Roman"/>
          <w:szCs w:val="24"/>
        </w:rPr>
        <w:t xml:space="preserve">eru </w:t>
      </w:r>
      <w:r w:rsidR="00457B27">
        <w:rPr>
          <w:rFonts w:cs="Times New Roman"/>
          <w:szCs w:val="24"/>
        </w:rPr>
        <w:t xml:space="preserve">hinvegin </w:t>
      </w:r>
      <w:r w:rsidRPr="00D11EB5">
        <w:rPr>
          <w:rFonts w:cs="Times New Roman"/>
          <w:szCs w:val="24"/>
        </w:rPr>
        <w:t>sín</w:t>
      </w:r>
      <w:r w:rsidR="009657E3">
        <w:rPr>
          <w:rFonts w:cs="Times New Roman"/>
          <w:szCs w:val="24"/>
        </w:rPr>
        <w:t>á</w:t>
      </w:r>
      <w:r w:rsidRPr="00D11EB5">
        <w:rPr>
          <w:rFonts w:cs="Times New Roman"/>
          <w:szCs w:val="24"/>
        </w:rPr>
        <w:t>millum bundnar saman av felags eigaraskapi, ávirkan og leiðslu.</w:t>
      </w:r>
    </w:p>
    <w:p w:rsidR="00D11EB5" w:rsidRPr="00D11EB5" w:rsidRDefault="00D11EB5" w:rsidP="00D11EB5">
      <w:pPr>
        <w:spacing w:after="0"/>
        <w:rPr>
          <w:rFonts w:cs="Times New Roman"/>
          <w:szCs w:val="24"/>
        </w:rPr>
      </w:pPr>
    </w:p>
    <w:p w:rsidR="00D11EB5" w:rsidRPr="00D11EB5" w:rsidRDefault="00D11EB5" w:rsidP="00D11EB5">
      <w:pPr>
        <w:spacing w:after="0"/>
        <w:rPr>
          <w:rFonts w:cs="Times New Roman"/>
          <w:szCs w:val="24"/>
        </w:rPr>
      </w:pPr>
      <w:r w:rsidRPr="00D11EB5">
        <w:rPr>
          <w:rFonts w:cs="Times New Roman"/>
          <w:szCs w:val="24"/>
        </w:rPr>
        <w:t>At ein fíggjarlig fyritøka verður partur í eini samtøku saman við øðrum fyritøkum hevur við sær nýggjan váða aftrat tí, sum longu er í sambandi við rakstur av viðkomandi fíggjarliga virkseminum. Hesin váði verður nevndur samtøkuváði.</w:t>
      </w:r>
    </w:p>
    <w:p w:rsidR="00D11EB5" w:rsidRPr="00D11EB5" w:rsidRDefault="00D11EB5" w:rsidP="00D11EB5">
      <w:pPr>
        <w:spacing w:after="0"/>
        <w:rPr>
          <w:rFonts w:cs="Times New Roman"/>
          <w:szCs w:val="24"/>
        </w:rPr>
      </w:pPr>
    </w:p>
    <w:p w:rsidR="00D11EB5" w:rsidRPr="00D11EB5" w:rsidRDefault="00D11EB5" w:rsidP="00D11EB5">
      <w:pPr>
        <w:spacing w:after="0"/>
        <w:rPr>
          <w:rFonts w:cs="Times New Roman"/>
          <w:szCs w:val="24"/>
        </w:rPr>
      </w:pPr>
      <w:r w:rsidRPr="00D11EB5">
        <w:rPr>
          <w:rFonts w:cs="Times New Roman"/>
          <w:szCs w:val="24"/>
        </w:rPr>
        <w:t xml:space="preserve">Í hvønn mun samtøkuváði er til staðar valdast m.a., hvørji feløg eru í samtøkuni, </w:t>
      </w:r>
      <w:r w:rsidR="002449A2">
        <w:rPr>
          <w:rFonts w:cs="Times New Roman"/>
          <w:szCs w:val="24"/>
        </w:rPr>
        <w:t>virkisøki</w:t>
      </w:r>
      <w:r w:rsidR="002449A2" w:rsidRPr="00D11EB5">
        <w:rPr>
          <w:rFonts w:cs="Times New Roman"/>
          <w:szCs w:val="24"/>
        </w:rPr>
        <w:t xml:space="preserve"> </w:t>
      </w:r>
      <w:r w:rsidRPr="00D11EB5">
        <w:rPr>
          <w:rFonts w:cs="Times New Roman"/>
          <w:szCs w:val="24"/>
        </w:rPr>
        <w:t>hjá feløgunum, bygnaðurin í samtøkuni, felags funktiónir, hvussu nógv samstarvið er formaliserað</w:t>
      </w:r>
      <w:r w:rsidR="00E57574">
        <w:rPr>
          <w:rFonts w:cs="Times New Roman"/>
          <w:szCs w:val="24"/>
        </w:rPr>
        <w:t>,</w:t>
      </w:r>
      <w:r w:rsidRPr="00D11EB5">
        <w:rPr>
          <w:rFonts w:cs="Times New Roman"/>
          <w:szCs w:val="24"/>
        </w:rPr>
        <w:t xml:space="preserve"> samskipað praksis og persónsamanfall.</w:t>
      </w:r>
    </w:p>
    <w:p w:rsidR="00D11EB5" w:rsidRDefault="00D11EB5" w:rsidP="00D11EB5">
      <w:pPr>
        <w:spacing w:after="0"/>
        <w:rPr>
          <w:rFonts w:cs="Times New Roman"/>
          <w:szCs w:val="24"/>
        </w:rPr>
      </w:pPr>
    </w:p>
    <w:p w:rsidR="00D11EB5" w:rsidRPr="00D11EB5" w:rsidRDefault="00D11EB5" w:rsidP="00D11EB5">
      <w:pPr>
        <w:spacing w:after="0"/>
        <w:rPr>
          <w:rFonts w:cs="Times New Roman"/>
          <w:szCs w:val="24"/>
        </w:rPr>
      </w:pPr>
      <w:r w:rsidRPr="00D11EB5">
        <w:rPr>
          <w:rFonts w:cs="Times New Roman"/>
          <w:szCs w:val="24"/>
        </w:rPr>
        <w:t xml:space="preserve">Danska fíggjareftirlitið hevur gjørt eitt yvirlit yvir mest týðandi samtøkuváða og aðrar avbjóðingar, sum standast av, at samtøkur verða skipaðar, og nevnir m.a. </w:t>
      </w:r>
    </w:p>
    <w:p w:rsidR="00D11EB5" w:rsidRPr="00D11EB5" w:rsidRDefault="00D11EB5" w:rsidP="00D11EB5">
      <w:pPr>
        <w:pStyle w:val="Listeafsnit"/>
        <w:numPr>
          <w:ilvl w:val="0"/>
          <w:numId w:val="8"/>
        </w:numPr>
        <w:spacing w:after="0"/>
        <w:rPr>
          <w:rFonts w:cs="Times New Roman"/>
          <w:szCs w:val="24"/>
        </w:rPr>
      </w:pPr>
      <w:r w:rsidRPr="00D11EB5">
        <w:rPr>
          <w:rFonts w:cs="Times New Roman"/>
          <w:szCs w:val="24"/>
        </w:rPr>
        <w:t xml:space="preserve">lánifígging av kapitalinnskoti hjá móðurfelag í dótturfelag, </w:t>
      </w:r>
    </w:p>
    <w:p w:rsidR="00D11EB5" w:rsidRPr="00D11EB5" w:rsidRDefault="00D11EB5" w:rsidP="00D11EB5">
      <w:pPr>
        <w:pStyle w:val="Listeafsnit"/>
        <w:numPr>
          <w:ilvl w:val="0"/>
          <w:numId w:val="8"/>
        </w:numPr>
        <w:spacing w:after="0"/>
        <w:rPr>
          <w:rFonts w:cs="Times New Roman"/>
          <w:szCs w:val="24"/>
        </w:rPr>
      </w:pPr>
      <w:r w:rsidRPr="00D11EB5">
        <w:rPr>
          <w:rFonts w:cs="Times New Roman"/>
          <w:szCs w:val="24"/>
        </w:rPr>
        <w:t xml:space="preserve">samtøkuinternar transaktiónir, har peningur kann verða fluttur frá einum felag undir eftirliti til onnur feløg í samtøkuni, </w:t>
      </w:r>
    </w:p>
    <w:p w:rsidR="00D11EB5" w:rsidRPr="00D11EB5" w:rsidRDefault="00D11EB5" w:rsidP="00D11EB5">
      <w:pPr>
        <w:pStyle w:val="Listeafsnit"/>
        <w:numPr>
          <w:ilvl w:val="0"/>
          <w:numId w:val="8"/>
        </w:numPr>
        <w:spacing w:after="0"/>
        <w:rPr>
          <w:rFonts w:cs="Times New Roman"/>
          <w:szCs w:val="24"/>
        </w:rPr>
      </w:pPr>
      <w:r w:rsidRPr="00D11EB5">
        <w:rPr>
          <w:rFonts w:cs="Times New Roman"/>
          <w:szCs w:val="24"/>
        </w:rPr>
        <w:t>samtøkur, har tað er lítið gjøgnumskygni ella tað illa fæst yvirlit yvir samtøkuna, sum ger tað trupult hjá kundum og eftirliti, at fáa yvirlit yvir samtøkuna,</w:t>
      </w:r>
    </w:p>
    <w:p w:rsidR="00D11EB5" w:rsidRPr="00D11EB5" w:rsidRDefault="00D11EB5" w:rsidP="00D11EB5">
      <w:pPr>
        <w:pStyle w:val="Listeafsnit"/>
        <w:numPr>
          <w:ilvl w:val="0"/>
          <w:numId w:val="8"/>
        </w:numPr>
        <w:spacing w:after="0"/>
        <w:rPr>
          <w:rFonts w:cs="Times New Roman"/>
          <w:szCs w:val="24"/>
        </w:rPr>
      </w:pPr>
      <w:r w:rsidRPr="00D11EB5">
        <w:rPr>
          <w:rFonts w:cs="Times New Roman"/>
          <w:szCs w:val="24"/>
        </w:rPr>
        <w:t>smittuvandi, t.</w:t>
      </w:r>
      <w:r w:rsidR="009657E3">
        <w:rPr>
          <w:rFonts w:cs="Times New Roman"/>
          <w:szCs w:val="24"/>
        </w:rPr>
        <w:t>e.</w:t>
      </w:r>
      <w:r w:rsidRPr="00D11EB5">
        <w:rPr>
          <w:rFonts w:cs="Times New Roman"/>
          <w:szCs w:val="24"/>
        </w:rPr>
        <w:t xml:space="preserve"> vandin fyri at trupulleikar í einum parti í samtøkuni breiða seg til aðrar partar í samtøkuni,</w:t>
      </w:r>
    </w:p>
    <w:p w:rsidR="00D11EB5" w:rsidRPr="00D11EB5" w:rsidRDefault="00D11EB5" w:rsidP="00D11EB5">
      <w:pPr>
        <w:pStyle w:val="Listeafsnit"/>
        <w:numPr>
          <w:ilvl w:val="0"/>
          <w:numId w:val="8"/>
        </w:numPr>
        <w:spacing w:after="0"/>
        <w:rPr>
          <w:rFonts w:cs="Times New Roman"/>
          <w:szCs w:val="24"/>
        </w:rPr>
      </w:pPr>
      <w:r w:rsidRPr="00D11EB5">
        <w:rPr>
          <w:rFonts w:cs="Times New Roman"/>
          <w:szCs w:val="24"/>
        </w:rPr>
        <w:t xml:space="preserve">vantandi sjálvstøða hjá feløgunum í samtøkuni, sum kann hótta møguleikan hjá teimum fíggjarligu fyritøkunum at røkja </w:t>
      </w:r>
      <w:r w:rsidR="009657E3">
        <w:rPr>
          <w:rFonts w:cs="Times New Roman"/>
          <w:szCs w:val="24"/>
        </w:rPr>
        <w:t xml:space="preserve">onnur neyðug atlit, sum til dømis </w:t>
      </w:r>
      <w:r w:rsidRPr="00D11EB5">
        <w:rPr>
          <w:rFonts w:cs="Times New Roman"/>
          <w:szCs w:val="24"/>
        </w:rPr>
        <w:t xml:space="preserve">atlitini </w:t>
      </w:r>
      <w:r w:rsidR="00E57574">
        <w:rPr>
          <w:rFonts w:cs="Times New Roman"/>
          <w:szCs w:val="24"/>
        </w:rPr>
        <w:t xml:space="preserve">til </w:t>
      </w:r>
      <w:r w:rsidR="009657E3">
        <w:rPr>
          <w:rFonts w:cs="Times New Roman"/>
          <w:szCs w:val="24"/>
        </w:rPr>
        <w:t>teirra</w:t>
      </w:r>
      <w:r w:rsidRPr="00D11EB5">
        <w:rPr>
          <w:rFonts w:cs="Times New Roman"/>
          <w:szCs w:val="24"/>
        </w:rPr>
        <w:t>, ið hava pening í banka, til tryggingartakarar</w:t>
      </w:r>
      <w:r w:rsidR="009657E3">
        <w:rPr>
          <w:rFonts w:cs="Times New Roman"/>
          <w:szCs w:val="24"/>
        </w:rPr>
        <w:t xml:space="preserve">, </w:t>
      </w:r>
      <w:r w:rsidRPr="00D11EB5">
        <w:rPr>
          <w:rFonts w:cs="Times New Roman"/>
          <w:szCs w:val="24"/>
        </w:rPr>
        <w:t>innskjótarar og til fíggjarliga støðufesti</w:t>
      </w:r>
      <w:r w:rsidR="009657E3">
        <w:rPr>
          <w:rFonts w:cs="Times New Roman"/>
          <w:szCs w:val="24"/>
        </w:rPr>
        <w:t>ð</w:t>
      </w:r>
      <w:r w:rsidRPr="00D11EB5">
        <w:rPr>
          <w:rFonts w:cs="Times New Roman"/>
          <w:szCs w:val="24"/>
        </w:rPr>
        <w:t xml:space="preserve"> í fíggjarligu skipanini,</w:t>
      </w:r>
    </w:p>
    <w:p w:rsidR="00D11EB5" w:rsidRPr="00D11EB5" w:rsidRDefault="00D11EB5" w:rsidP="00D11EB5">
      <w:pPr>
        <w:pStyle w:val="Listeafsnit"/>
        <w:numPr>
          <w:ilvl w:val="0"/>
          <w:numId w:val="8"/>
        </w:numPr>
        <w:spacing w:after="0"/>
        <w:rPr>
          <w:rFonts w:cs="Times New Roman"/>
          <w:szCs w:val="24"/>
        </w:rPr>
      </w:pPr>
      <w:r w:rsidRPr="00D11EB5">
        <w:rPr>
          <w:rFonts w:cs="Times New Roman"/>
          <w:szCs w:val="24"/>
        </w:rPr>
        <w:t>leiðslan í einstøku feløgunum undir eftirliti, sum skal hava neyðuga sjálvstøðu til at lúka lógárinnar krøv,</w:t>
      </w:r>
    </w:p>
    <w:p w:rsidR="00D11EB5" w:rsidRPr="00D11EB5" w:rsidRDefault="00D11EB5" w:rsidP="00D11EB5">
      <w:pPr>
        <w:pStyle w:val="Listeafsnit"/>
        <w:numPr>
          <w:ilvl w:val="0"/>
          <w:numId w:val="8"/>
        </w:numPr>
        <w:spacing w:after="0"/>
        <w:rPr>
          <w:rFonts w:cs="Times New Roman"/>
          <w:szCs w:val="24"/>
        </w:rPr>
      </w:pPr>
      <w:r w:rsidRPr="00D11EB5">
        <w:rPr>
          <w:rFonts w:cs="Times New Roman"/>
          <w:szCs w:val="24"/>
        </w:rPr>
        <w:t>tagnarskyldan í feløgunum undir eftirliti mótvegis tørvinum á at kunna lata uppl</w:t>
      </w:r>
      <w:r w:rsidR="009657E3">
        <w:rPr>
          <w:rFonts w:cs="Times New Roman"/>
          <w:szCs w:val="24"/>
        </w:rPr>
        <w:t>ýs</w:t>
      </w:r>
      <w:r w:rsidRPr="00D11EB5">
        <w:rPr>
          <w:rFonts w:cs="Times New Roman"/>
          <w:szCs w:val="24"/>
        </w:rPr>
        <w:t xml:space="preserve">ingar </w:t>
      </w:r>
      <w:r w:rsidR="009657E3">
        <w:rPr>
          <w:rFonts w:cs="Times New Roman"/>
          <w:szCs w:val="24"/>
        </w:rPr>
        <w:t xml:space="preserve">– </w:t>
      </w:r>
      <w:r w:rsidRPr="00D11EB5">
        <w:rPr>
          <w:rFonts w:cs="Times New Roman"/>
          <w:szCs w:val="24"/>
        </w:rPr>
        <w:t>t.d. til nýtslu í felags marknaðarføring.</w:t>
      </w:r>
    </w:p>
    <w:p w:rsidR="00D11EB5" w:rsidRPr="00D11EB5" w:rsidRDefault="00D11EB5" w:rsidP="00D11EB5">
      <w:pPr>
        <w:spacing w:after="0"/>
        <w:rPr>
          <w:rFonts w:cs="Times New Roman"/>
          <w:szCs w:val="24"/>
        </w:rPr>
      </w:pPr>
    </w:p>
    <w:p w:rsidR="009C2088" w:rsidRDefault="009C2088" w:rsidP="00D11EB5">
      <w:pPr>
        <w:spacing w:after="0"/>
        <w:rPr>
          <w:rFonts w:cs="Times New Roman"/>
          <w:i/>
          <w:szCs w:val="24"/>
        </w:rPr>
      </w:pPr>
    </w:p>
    <w:p w:rsidR="00D11EB5" w:rsidRPr="00D11EB5" w:rsidRDefault="00D11EB5" w:rsidP="00D11EB5">
      <w:pPr>
        <w:spacing w:after="0"/>
        <w:rPr>
          <w:rFonts w:cs="Times New Roman"/>
          <w:szCs w:val="24"/>
        </w:rPr>
      </w:pPr>
      <w:r w:rsidRPr="00D11EB5">
        <w:rPr>
          <w:rFonts w:cs="Times New Roman"/>
          <w:szCs w:val="24"/>
        </w:rPr>
        <w:t>Í lóggávuni er ein røð av reglum, sum tekur atlit til hendan váða og aðrar samtøkuavbjóðingar.</w:t>
      </w:r>
    </w:p>
    <w:p w:rsidR="00D11EB5" w:rsidRPr="00D11EB5" w:rsidRDefault="00D11EB5" w:rsidP="00D11EB5">
      <w:pPr>
        <w:spacing w:after="0"/>
        <w:rPr>
          <w:rFonts w:cs="Times New Roman"/>
          <w:szCs w:val="24"/>
        </w:rPr>
      </w:pPr>
    </w:p>
    <w:p w:rsidR="00D11EB5" w:rsidRPr="00D11EB5" w:rsidRDefault="00D11EB5" w:rsidP="00D11EB5">
      <w:pPr>
        <w:spacing w:after="0"/>
        <w:rPr>
          <w:rFonts w:cs="Times New Roman"/>
          <w:szCs w:val="24"/>
        </w:rPr>
      </w:pPr>
      <w:r w:rsidRPr="00D11EB5">
        <w:rPr>
          <w:rFonts w:cs="Times New Roman"/>
          <w:szCs w:val="24"/>
        </w:rPr>
        <w:t>Fleiri av teimum reglum í fíggjaraligu lóggávuni, sum skulu minka um váðan, er</w:t>
      </w:r>
      <w:r w:rsidR="009657E3">
        <w:rPr>
          <w:rFonts w:cs="Times New Roman"/>
          <w:szCs w:val="24"/>
        </w:rPr>
        <w:t>u</w:t>
      </w:r>
      <w:r w:rsidRPr="00D11EB5">
        <w:rPr>
          <w:rFonts w:cs="Times New Roman"/>
          <w:szCs w:val="24"/>
        </w:rPr>
        <w:t xml:space="preserve"> grundaðar á eina meginreglu um vatntøtt skott. Tað merkir, at í eini kreppustøðu skal einstaka felagið undir eftirliti kunna verjast/avbyrgjast í mun til hini feløgini í samtøkuni, og skal sjál</w:t>
      </w:r>
      <w:r w:rsidR="009657E3">
        <w:rPr>
          <w:rFonts w:cs="Times New Roman"/>
          <w:szCs w:val="24"/>
        </w:rPr>
        <w:t>v</w:t>
      </w:r>
      <w:r w:rsidRPr="00D11EB5">
        <w:rPr>
          <w:rFonts w:cs="Times New Roman"/>
          <w:szCs w:val="24"/>
        </w:rPr>
        <w:t>støðugt kunna halda fram við virkseminum.</w:t>
      </w:r>
    </w:p>
    <w:p w:rsidR="00D11EB5" w:rsidRDefault="00D11EB5" w:rsidP="00D11EB5">
      <w:pPr>
        <w:spacing w:after="0"/>
        <w:rPr>
          <w:rFonts w:cs="Times New Roman"/>
          <w:szCs w:val="24"/>
        </w:rPr>
      </w:pPr>
    </w:p>
    <w:p w:rsidR="00A906E3" w:rsidRPr="00406C28" w:rsidRDefault="00406C28" w:rsidP="00D11EB5">
      <w:pPr>
        <w:spacing w:after="0"/>
        <w:rPr>
          <w:rFonts w:cs="Times New Roman"/>
          <w:b/>
          <w:szCs w:val="24"/>
        </w:rPr>
      </w:pPr>
      <w:r w:rsidRPr="00406C28">
        <w:rPr>
          <w:rFonts w:cs="Times New Roman"/>
          <w:b/>
          <w:szCs w:val="24"/>
        </w:rPr>
        <w:t>1.</w:t>
      </w:r>
      <w:r w:rsidR="00ED0A64">
        <w:rPr>
          <w:rFonts w:cs="Times New Roman"/>
          <w:b/>
          <w:szCs w:val="24"/>
        </w:rPr>
        <w:t>5</w:t>
      </w:r>
      <w:r w:rsidRPr="00406C28">
        <w:rPr>
          <w:rFonts w:cs="Times New Roman"/>
          <w:b/>
          <w:szCs w:val="24"/>
        </w:rPr>
        <w:t xml:space="preserve">. </w:t>
      </w:r>
      <w:r w:rsidR="00A906E3" w:rsidRPr="00406C28">
        <w:rPr>
          <w:rFonts w:cs="Times New Roman"/>
          <w:b/>
          <w:szCs w:val="24"/>
        </w:rPr>
        <w:t>Galdandi lóggáva</w:t>
      </w:r>
    </w:p>
    <w:p w:rsidR="00266E9D" w:rsidRDefault="00C44713" w:rsidP="005D0D30">
      <w:pPr>
        <w:spacing w:after="0"/>
        <w:rPr>
          <w:rFonts w:cs="Times New Roman"/>
          <w:szCs w:val="24"/>
        </w:rPr>
      </w:pPr>
      <w:r>
        <w:rPr>
          <w:rFonts w:cs="Times New Roman"/>
          <w:szCs w:val="24"/>
        </w:rPr>
        <w:t>Tryggingarvirks</w:t>
      </w:r>
      <w:r w:rsidR="00327312">
        <w:rPr>
          <w:rFonts w:cs="Times New Roman"/>
          <w:szCs w:val="24"/>
        </w:rPr>
        <w:t>e</w:t>
      </w:r>
      <w:r>
        <w:rPr>
          <w:rFonts w:cs="Times New Roman"/>
          <w:szCs w:val="24"/>
        </w:rPr>
        <w:t xml:space="preserve">mi og bankavirksemi er </w:t>
      </w:r>
      <w:r w:rsidRPr="00C44713">
        <w:rPr>
          <w:rFonts w:cs="Times New Roman"/>
          <w:szCs w:val="24"/>
        </w:rPr>
        <w:t xml:space="preserve">lógarregulerað í fíggjarligu lóggávuni, </w:t>
      </w:r>
      <w:r>
        <w:rPr>
          <w:rFonts w:cs="Times New Roman"/>
          <w:szCs w:val="24"/>
        </w:rPr>
        <w:t xml:space="preserve">ávikavist í </w:t>
      </w:r>
      <w:r w:rsidRPr="00C44713">
        <w:rPr>
          <w:rFonts w:cs="Times New Roman"/>
          <w:szCs w:val="24"/>
        </w:rPr>
        <w:t xml:space="preserve"> </w:t>
      </w:r>
      <w:r w:rsidR="00266E9D">
        <w:rPr>
          <w:rFonts w:cs="Times New Roman"/>
          <w:szCs w:val="24"/>
        </w:rPr>
        <w:t xml:space="preserve">løgtingslóg </w:t>
      </w:r>
      <w:r w:rsidRPr="00C44713">
        <w:rPr>
          <w:rFonts w:cs="Times New Roman"/>
          <w:szCs w:val="24"/>
        </w:rPr>
        <w:t xml:space="preserve">um tryggingarvirksemi </w:t>
      </w:r>
      <w:r>
        <w:rPr>
          <w:rFonts w:cs="Times New Roman"/>
          <w:szCs w:val="24"/>
        </w:rPr>
        <w:t xml:space="preserve">og í </w:t>
      </w:r>
      <w:r w:rsidRPr="00C44713">
        <w:rPr>
          <w:rFonts w:cs="Times New Roman"/>
          <w:szCs w:val="24"/>
        </w:rPr>
        <w:t>kongligari fyriskipan um ígildiss</w:t>
      </w:r>
      <w:r w:rsidR="00327312">
        <w:rPr>
          <w:rFonts w:cs="Times New Roman"/>
          <w:szCs w:val="24"/>
        </w:rPr>
        <w:t>e</w:t>
      </w:r>
      <w:r w:rsidRPr="00C44713">
        <w:rPr>
          <w:rFonts w:cs="Times New Roman"/>
          <w:szCs w:val="24"/>
        </w:rPr>
        <w:t xml:space="preserve">tan fyri Føroyar av </w:t>
      </w:r>
      <w:r w:rsidR="00327312">
        <w:rPr>
          <w:rFonts w:cs="Times New Roman"/>
          <w:szCs w:val="24"/>
        </w:rPr>
        <w:lastRenderedPageBreak/>
        <w:t>“l</w:t>
      </w:r>
      <w:r w:rsidRPr="00C44713">
        <w:rPr>
          <w:rFonts w:cs="Times New Roman"/>
          <w:szCs w:val="24"/>
        </w:rPr>
        <w:t>ov om finansiel virksomhed</w:t>
      </w:r>
      <w:r w:rsidR="00327312">
        <w:rPr>
          <w:rFonts w:cs="Times New Roman"/>
          <w:szCs w:val="24"/>
        </w:rPr>
        <w:t>”</w:t>
      </w:r>
      <w:r w:rsidR="009C5FD3">
        <w:rPr>
          <w:rFonts w:cs="Times New Roman"/>
          <w:szCs w:val="24"/>
        </w:rPr>
        <w:t xml:space="preserve"> (</w:t>
      </w:r>
      <w:r w:rsidR="00E57574">
        <w:rPr>
          <w:rFonts w:cs="Times New Roman"/>
          <w:szCs w:val="24"/>
        </w:rPr>
        <w:t>hereftir</w:t>
      </w:r>
      <w:r w:rsidR="009C5FD3">
        <w:rPr>
          <w:rFonts w:cs="Times New Roman"/>
          <w:szCs w:val="24"/>
        </w:rPr>
        <w:t xml:space="preserve"> </w:t>
      </w:r>
      <w:r w:rsidR="009657E3">
        <w:rPr>
          <w:rFonts w:cs="Times New Roman"/>
          <w:szCs w:val="24"/>
        </w:rPr>
        <w:t>FIL</w:t>
      </w:r>
      <w:r w:rsidR="009C5FD3">
        <w:rPr>
          <w:rFonts w:cs="Times New Roman"/>
          <w:szCs w:val="24"/>
        </w:rPr>
        <w:t>)</w:t>
      </w:r>
      <w:r w:rsidR="009C318C">
        <w:rPr>
          <w:rFonts w:cs="Times New Roman"/>
          <w:szCs w:val="24"/>
        </w:rPr>
        <w:t>,</w:t>
      </w:r>
      <w:r w:rsidR="009C318C" w:rsidRPr="009C318C">
        <w:t xml:space="preserve"> </w:t>
      </w:r>
      <w:r w:rsidR="009C318C" w:rsidRPr="009C318C">
        <w:rPr>
          <w:rFonts w:cs="Times New Roman"/>
          <w:szCs w:val="24"/>
        </w:rPr>
        <w:t>og fíggjarfyritøkurnar eru undir serligum fíggjarligum eftirliti av ávikavist Tryggingareftirlitinum og Finanstilsynet.</w:t>
      </w:r>
    </w:p>
    <w:p w:rsidR="00266E9D" w:rsidRDefault="00266E9D" w:rsidP="005D0D30">
      <w:pPr>
        <w:spacing w:after="0"/>
        <w:rPr>
          <w:rFonts w:cs="Times New Roman"/>
          <w:szCs w:val="24"/>
        </w:rPr>
      </w:pPr>
    </w:p>
    <w:p w:rsidR="005D0D30" w:rsidRDefault="005D0D30" w:rsidP="005D0D30">
      <w:pPr>
        <w:spacing w:after="0"/>
      </w:pPr>
      <w:r>
        <w:t xml:space="preserve">Endamálið við </w:t>
      </w:r>
      <w:r w:rsidR="00C95460">
        <w:t xml:space="preserve">fíggarligu </w:t>
      </w:r>
      <w:r>
        <w:t>lóggávuni er at skapa trygg viðurskifti fyri innskjótarar og tryggingartakarar og at viðvirka til, at álit er á fíggjargeiran.</w:t>
      </w:r>
    </w:p>
    <w:p w:rsidR="00266E9D" w:rsidRDefault="00266E9D" w:rsidP="005D0D30">
      <w:pPr>
        <w:spacing w:after="0"/>
      </w:pPr>
    </w:p>
    <w:p w:rsidR="0084540C" w:rsidRPr="00A97051" w:rsidRDefault="00A97051" w:rsidP="00A97051">
      <w:pPr>
        <w:tabs>
          <w:tab w:val="left" w:pos="3990"/>
        </w:tabs>
        <w:spacing w:after="0"/>
        <w:rPr>
          <w:b/>
        </w:rPr>
      </w:pPr>
      <w:r w:rsidRPr="00A97051">
        <w:rPr>
          <w:b/>
        </w:rPr>
        <w:t>1.</w:t>
      </w:r>
      <w:r w:rsidR="00ED0A64">
        <w:rPr>
          <w:b/>
        </w:rPr>
        <w:t>5</w:t>
      </w:r>
      <w:r w:rsidRPr="00A97051">
        <w:rPr>
          <w:b/>
        </w:rPr>
        <w:t xml:space="preserve">.1. </w:t>
      </w:r>
      <w:r w:rsidR="008B34D9">
        <w:rPr>
          <w:b/>
        </w:rPr>
        <w:t>Kapitalbindingar og k</w:t>
      </w:r>
      <w:r w:rsidR="0084540C" w:rsidRPr="00A97051">
        <w:rPr>
          <w:b/>
        </w:rPr>
        <w:t xml:space="preserve">apitalkrøv til </w:t>
      </w:r>
      <w:r w:rsidR="008B34D9">
        <w:rPr>
          <w:b/>
        </w:rPr>
        <w:t>fíggjarligar fyritøkur</w:t>
      </w:r>
      <w:r w:rsidRPr="00A97051">
        <w:rPr>
          <w:b/>
        </w:rPr>
        <w:tab/>
      </w:r>
    </w:p>
    <w:p w:rsidR="009C5FD3" w:rsidRDefault="009C5FD3" w:rsidP="009C5FD3">
      <w:pPr>
        <w:spacing w:after="0"/>
        <w:rPr>
          <w:rFonts w:cs="Times New Roman"/>
          <w:szCs w:val="24"/>
        </w:rPr>
      </w:pPr>
    </w:p>
    <w:p w:rsidR="004B3042" w:rsidRDefault="009C5FD3" w:rsidP="009C5FD3">
      <w:pPr>
        <w:spacing w:after="0"/>
      </w:pPr>
      <w:r>
        <w:rPr>
          <w:rFonts w:cs="Times New Roman"/>
          <w:szCs w:val="24"/>
        </w:rPr>
        <w:t xml:space="preserve">Bæði </w:t>
      </w:r>
      <w:r w:rsidR="00E57574">
        <w:rPr>
          <w:rFonts w:cs="Times New Roman"/>
          <w:szCs w:val="24"/>
        </w:rPr>
        <w:t>tryggingarlógin</w:t>
      </w:r>
      <w:r w:rsidR="009657E3">
        <w:rPr>
          <w:rFonts w:cs="Times New Roman"/>
          <w:szCs w:val="24"/>
        </w:rPr>
        <w:t xml:space="preserve"> </w:t>
      </w:r>
      <w:r>
        <w:rPr>
          <w:rFonts w:cs="Times New Roman"/>
          <w:szCs w:val="24"/>
        </w:rPr>
        <w:t xml:space="preserve">og </w:t>
      </w:r>
      <w:r w:rsidR="009657E3">
        <w:rPr>
          <w:rFonts w:cs="Times New Roman"/>
          <w:szCs w:val="24"/>
        </w:rPr>
        <w:t xml:space="preserve">FIL </w:t>
      </w:r>
      <w:r>
        <w:rPr>
          <w:rFonts w:cs="Times New Roman"/>
          <w:szCs w:val="24"/>
        </w:rPr>
        <w:t xml:space="preserve">hava ásetingar, sum hava til endamál at </w:t>
      </w:r>
      <w:r w:rsidR="004B3042" w:rsidRPr="004B3042">
        <w:rPr>
          <w:rFonts w:cs="Times New Roman"/>
          <w:szCs w:val="24"/>
        </w:rPr>
        <w:t>avmarka skuldbindingar og innanhýsis samtøkuflytingar í einum fíggjarligum samtaki.</w:t>
      </w:r>
      <w:r w:rsidR="004B3042" w:rsidRPr="004B3042">
        <w:t xml:space="preserve"> </w:t>
      </w:r>
    </w:p>
    <w:p w:rsidR="004B3042" w:rsidRDefault="004B3042" w:rsidP="009C5FD3">
      <w:pPr>
        <w:spacing w:after="0"/>
      </w:pPr>
    </w:p>
    <w:p w:rsidR="009C5FD3" w:rsidRDefault="004B3042" w:rsidP="009C5FD3">
      <w:pPr>
        <w:spacing w:after="0"/>
        <w:rPr>
          <w:rFonts w:cs="Times New Roman"/>
          <w:szCs w:val="24"/>
        </w:rPr>
      </w:pPr>
      <w:r>
        <w:rPr>
          <w:rFonts w:cs="Times New Roman"/>
          <w:szCs w:val="24"/>
        </w:rPr>
        <w:t xml:space="preserve">Í § 110 í </w:t>
      </w:r>
      <w:r w:rsidR="00E57574">
        <w:rPr>
          <w:rFonts w:cs="Times New Roman"/>
          <w:szCs w:val="24"/>
        </w:rPr>
        <w:t>tryggingarlógini</w:t>
      </w:r>
      <w:r>
        <w:rPr>
          <w:rFonts w:cs="Times New Roman"/>
          <w:szCs w:val="24"/>
        </w:rPr>
        <w:t xml:space="preserve"> er ásett, at e</w:t>
      </w:r>
      <w:r w:rsidR="009C5FD3" w:rsidRPr="009C5FD3">
        <w:rPr>
          <w:rFonts w:cs="Times New Roman"/>
          <w:szCs w:val="24"/>
        </w:rPr>
        <w:t xml:space="preserve">itt tryggingarfelag ikki uttan loyvi frá Tryggingareftirlitinum </w:t>
      </w:r>
      <w:r>
        <w:rPr>
          <w:rFonts w:cs="Times New Roman"/>
          <w:szCs w:val="24"/>
        </w:rPr>
        <w:t xml:space="preserve">kann </w:t>
      </w:r>
      <w:r w:rsidR="009C5FD3" w:rsidRPr="009C5FD3">
        <w:rPr>
          <w:rFonts w:cs="Times New Roman"/>
          <w:szCs w:val="24"/>
        </w:rPr>
        <w:t>hava skuldbindingar við aðrar fyritøkur í somu samtøku, undantikið skuldbindingar við dótturfeløg.</w:t>
      </w:r>
    </w:p>
    <w:p w:rsidR="004B3042" w:rsidRDefault="004B3042" w:rsidP="009C5FD3">
      <w:pPr>
        <w:spacing w:after="0"/>
        <w:rPr>
          <w:rFonts w:cs="Times New Roman"/>
          <w:szCs w:val="24"/>
        </w:rPr>
      </w:pPr>
    </w:p>
    <w:p w:rsidR="009C5FD3" w:rsidRPr="009C5FD3" w:rsidRDefault="004B3042" w:rsidP="009C5FD3">
      <w:pPr>
        <w:spacing w:after="0"/>
        <w:rPr>
          <w:rFonts w:cs="Times New Roman"/>
          <w:szCs w:val="24"/>
        </w:rPr>
      </w:pPr>
      <w:r>
        <w:rPr>
          <w:rFonts w:cs="Times New Roman"/>
          <w:szCs w:val="24"/>
        </w:rPr>
        <w:t xml:space="preserve">Í </w:t>
      </w:r>
      <w:r w:rsidR="009C5FD3" w:rsidRPr="009C5FD3">
        <w:rPr>
          <w:rFonts w:cs="Times New Roman"/>
          <w:szCs w:val="24"/>
        </w:rPr>
        <w:t xml:space="preserve">§ 182 </w:t>
      </w:r>
      <w:r>
        <w:rPr>
          <w:rFonts w:cs="Times New Roman"/>
          <w:szCs w:val="24"/>
        </w:rPr>
        <w:t xml:space="preserve">í </w:t>
      </w:r>
      <w:r w:rsidR="004D1110">
        <w:rPr>
          <w:rFonts w:cs="Times New Roman"/>
          <w:szCs w:val="24"/>
        </w:rPr>
        <w:t xml:space="preserve">FIL </w:t>
      </w:r>
      <w:r>
        <w:rPr>
          <w:rFonts w:cs="Times New Roman"/>
          <w:szCs w:val="24"/>
        </w:rPr>
        <w:t xml:space="preserve">er ásett, at ein fíggjarlig fyritøka ikki uttan loyvi frá Fígareftirlitinum kann hava </w:t>
      </w:r>
      <w:r w:rsidR="00AB4262" w:rsidRPr="00AB4262">
        <w:t xml:space="preserve"> </w:t>
      </w:r>
      <w:r w:rsidR="00AB4262" w:rsidRPr="00AB4262">
        <w:rPr>
          <w:rFonts w:cs="Times New Roman"/>
          <w:szCs w:val="24"/>
        </w:rPr>
        <w:t>skuldbindingar við aðrar fyritøkur í somu samtøku, undantikið skuldbindingar við dótturfeløg</w:t>
      </w:r>
      <w:r w:rsidR="00E57574">
        <w:rPr>
          <w:rFonts w:cs="Times New Roman"/>
          <w:szCs w:val="24"/>
        </w:rPr>
        <w:t>.</w:t>
      </w:r>
    </w:p>
    <w:p w:rsidR="00F874AE" w:rsidRDefault="00F874AE" w:rsidP="009C5FD3">
      <w:pPr>
        <w:spacing w:after="0"/>
        <w:rPr>
          <w:rFonts w:cs="Times New Roman"/>
          <w:szCs w:val="24"/>
        </w:rPr>
      </w:pPr>
    </w:p>
    <w:p w:rsidR="00F874AE" w:rsidRDefault="00F874AE" w:rsidP="009C5FD3">
      <w:pPr>
        <w:spacing w:after="0"/>
        <w:rPr>
          <w:rFonts w:cs="Times New Roman"/>
          <w:szCs w:val="24"/>
        </w:rPr>
      </w:pPr>
      <w:r>
        <w:rPr>
          <w:rFonts w:cs="Times New Roman"/>
          <w:szCs w:val="24"/>
        </w:rPr>
        <w:t xml:space="preserve">Tað merkir, </w:t>
      </w:r>
      <w:r w:rsidR="00AB4262" w:rsidRPr="00AB4262">
        <w:rPr>
          <w:rFonts w:cs="Times New Roman"/>
          <w:szCs w:val="24"/>
        </w:rPr>
        <w:t xml:space="preserve">at </w:t>
      </w:r>
      <w:r>
        <w:rPr>
          <w:rFonts w:cs="Times New Roman"/>
          <w:szCs w:val="24"/>
        </w:rPr>
        <w:t xml:space="preserve">skal </w:t>
      </w:r>
      <w:r w:rsidR="0039221A">
        <w:rPr>
          <w:rFonts w:cs="Times New Roman"/>
          <w:szCs w:val="24"/>
        </w:rPr>
        <w:t xml:space="preserve">peningur </w:t>
      </w:r>
      <w:r w:rsidR="00153D85">
        <w:rPr>
          <w:rFonts w:cs="Times New Roman"/>
          <w:szCs w:val="24"/>
        </w:rPr>
        <w:t xml:space="preserve">flytast frá </w:t>
      </w:r>
      <w:r>
        <w:rPr>
          <w:rFonts w:cs="Times New Roman"/>
          <w:szCs w:val="24"/>
        </w:rPr>
        <w:t xml:space="preserve">Betri Trygging </w:t>
      </w:r>
      <w:r w:rsidR="00153D85">
        <w:rPr>
          <w:rFonts w:cs="Times New Roman"/>
          <w:szCs w:val="24"/>
        </w:rPr>
        <w:t>til Betri Banka við innskotið í bankan, láni</w:t>
      </w:r>
      <w:r w:rsidR="009657E3">
        <w:rPr>
          <w:rFonts w:cs="Times New Roman"/>
          <w:szCs w:val="24"/>
        </w:rPr>
        <w:t>,</w:t>
      </w:r>
      <w:r w:rsidR="00153D85">
        <w:rPr>
          <w:rFonts w:cs="Times New Roman"/>
          <w:szCs w:val="24"/>
        </w:rPr>
        <w:t xml:space="preserve"> veðhaldi ella aðrari trygd, </w:t>
      </w:r>
      <w:r>
        <w:rPr>
          <w:rFonts w:cs="Times New Roman"/>
          <w:szCs w:val="24"/>
        </w:rPr>
        <w:t xml:space="preserve">so krevst góðkenning frá </w:t>
      </w:r>
      <w:r w:rsidR="00AB4262" w:rsidRPr="00AB4262">
        <w:rPr>
          <w:rFonts w:cs="Times New Roman"/>
          <w:szCs w:val="24"/>
        </w:rPr>
        <w:t xml:space="preserve">Tryggingareftirlitinum, og </w:t>
      </w:r>
      <w:r w:rsidR="00153D85">
        <w:rPr>
          <w:rFonts w:cs="Times New Roman"/>
          <w:szCs w:val="24"/>
        </w:rPr>
        <w:t xml:space="preserve">hinvegin, um </w:t>
      </w:r>
      <w:r>
        <w:rPr>
          <w:rFonts w:cs="Times New Roman"/>
          <w:szCs w:val="24"/>
        </w:rPr>
        <w:t xml:space="preserve">Betri Banki </w:t>
      </w:r>
      <w:r w:rsidR="00153D85">
        <w:rPr>
          <w:rFonts w:cs="Times New Roman"/>
          <w:szCs w:val="24"/>
        </w:rPr>
        <w:t xml:space="preserve">ger innskot í </w:t>
      </w:r>
      <w:r>
        <w:rPr>
          <w:rFonts w:cs="Times New Roman"/>
          <w:szCs w:val="24"/>
        </w:rPr>
        <w:t>Betri Trygging</w:t>
      </w:r>
      <w:r w:rsidR="00C95460">
        <w:rPr>
          <w:rFonts w:cs="Times New Roman"/>
          <w:szCs w:val="24"/>
        </w:rPr>
        <w:t xml:space="preserve">, </w:t>
      </w:r>
      <w:r w:rsidR="00153D85">
        <w:rPr>
          <w:rFonts w:cs="Times New Roman"/>
          <w:szCs w:val="24"/>
        </w:rPr>
        <w:t xml:space="preserve">veitir </w:t>
      </w:r>
      <w:r w:rsidR="00153D85" w:rsidRPr="00153D85">
        <w:rPr>
          <w:rFonts w:cs="Times New Roman"/>
          <w:szCs w:val="24"/>
        </w:rPr>
        <w:t>lán</w:t>
      </w:r>
      <w:r w:rsidR="00153D85">
        <w:rPr>
          <w:rFonts w:cs="Times New Roman"/>
          <w:szCs w:val="24"/>
        </w:rPr>
        <w:t xml:space="preserve">, </w:t>
      </w:r>
      <w:r w:rsidR="00153D85" w:rsidRPr="00153D85">
        <w:rPr>
          <w:rFonts w:cs="Times New Roman"/>
          <w:szCs w:val="24"/>
        </w:rPr>
        <w:t>veðhald ella aðrari trygd</w:t>
      </w:r>
      <w:r w:rsidR="00153D85">
        <w:rPr>
          <w:rFonts w:cs="Times New Roman"/>
          <w:szCs w:val="24"/>
        </w:rPr>
        <w:t>,</w:t>
      </w:r>
      <w:r w:rsidR="00153D85" w:rsidRPr="00153D85">
        <w:rPr>
          <w:rFonts w:cs="Times New Roman"/>
          <w:szCs w:val="24"/>
        </w:rPr>
        <w:t xml:space="preserve"> </w:t>
      </w:r>
      <w:r>
        <w:rPr>
          <w:rFonts w:cs="Times New Roman"/>
          <w:szCs w:val="24"/>
        </w:rPr>
        <w:t>so skal Fíggjareftirlitið góðkenna tað.</w:t>
      </w:r>
    </w:p>
    <w:p w:rsidR="00F874AE" w:rsidRDefault="00F874AE" w:rsidP="009C5FD3">
      <w:pPr>
        <w:spacing w:after="0"/>
        <w:rPr>
          <w:rFonts w:cs="Times New Roman"/>
          <w:szCs w:val="24"/>
        </w:rPr>
      </w:pPr>
    </w:p>
    <w:p w:rsidR="00740ACD" w:rsidRDefault="00740ACD" w:rsidP="00491748">
      <w:pPr>
        <w:spacing w:after="0"/>
        <w:rPr>
          <w:rFonts w:cs="Times New Roman"/>
          <w:szCs w:val="24"/>
        </w:rPr>
      </w:pPr>
      <w:r>
        <w:rPr>
          <w:rFonts w:cs="Times New Roman"/>
          <w:szCs w:val="24"/>
        </w:rPr>
        <w:t xml:space="preserve">Eftir </w:t>
      </w:r>
      <w:r w:rsidR="00E57574">
        <w:rPr>
          <w:rFonts w:cs="Times New Roman"/>
          <w:szCs w:val="24"/>
        </w:rPr>
        <w:t xml:space="preserve">§ </w:t>
      </w:r>
      <w:r>
        <w:rPr>
          <w:rFonts w:cs="Times New Roman"/>
          <w:szCs w:val="24"/>
        </w:rPr>
        <w:t xml:space="preserve">81, stk. 8 í </w:t>
      </w:r>
      <w:r w:rsidR="00E57574">
        <w:rPr>
          <w:rFonts w:cs="Times New Roman"/>
          <w:szCs w:val="24"/>
        </w:rPr>
        <w:t xml:space="preserve">tryggingarlógini </w:t>
      </w:r>
      <w:r>
        <w:rPr>
          <w:rFonts w:cs="Times New Roman"/>
          <w:szCs w:val="24"/>
        </w:rPr>
        <w:t>skulu n</w:t>
      </w:r>
      <w:r w:rsidR="00491748" w:rsidRPr="00491748">
        <w:rPr>
          <w:rFonts w:cs="Times New Roman"/>
          <w:szCs w:val="24"/>
        </w:rPr>
        <w:t>evnd og stjórn í tryggingarfel</w:t>
      </w:r>
      <w:r>
        <w:rPr>
          <w:rFonts w:cs="Times New Roman"/>
          <w:szCs w:val="24"/>
        </w:rPr>
        <w:t xml:space="preserve">agi </w:t>
      </w:r>
      <w:r w:rsidR="00491748" w:rsidRPr="00491748">
        <w:rPr>
          <w:rFonts w:cs="Times New Roman"/>
          <w:szCs w:val="24"/>
        </w:rPr>
        <w:t xml:space="preserve">gera upp tann individuella solvenstørvin hjá </w:t>
      </w:r>
      <w:r>
        <w:rPr>
          <w:rFonts w:cs="Times New Roman"/>
          <w:szCs w:val="24"/>
        </w:rPr>
        <w:t>felagnum</w:t>
      </w:r>
      <w:r w:rsidR="00491748" w:rsidRPr="00491748">
        <w:rPr>
          <w:rFonts w:cs="Times New Roman"/>
          <w:szCs w:val="24"/>
        </w:rPr>
        <w:t>.</w:t>
      </w:r>
      <w:r>
        <w:rPr>
          <w:rFonts w:cs="Times New Roman"/>
          <w:szCs w:val="24"/>
        </w:rPr>
        <w:t xml:space="preserve"> Metir Tryggingareftirlitið, at</w:t>
      </w:r>
      <w:r w:rsidRPr="00740ACD">
        <w:t xml:space="preserve"> </w:t>
      </w:r>
      <w:r w:rsidR="00E57574">
        <w:rPr>
          <w:rFonts w:cs="Times New Roman"/>
          <w:szCs w:val="24"/>
        </w:rPr>
        <w:t>individuelli</w:t>
      </w:r>
      <w:r>
        <w:rPr>
          <w:rFonts w:cs="Times New Roman"/>
          <w:szCs w:val="24"/>
        </w:rPr>
        <w:t xml:space="preserve"> solvenstørvurin er settur ov lágt, kann Tryggingareftirliti</w:t>
      </w:r>
      <w:r w:rsidR="00565139">
        <w:rPr>
          <w:rFonts w:cs="Times New Roman"/>
          <w:szCs w:val="24"/>
        </w:rPr>
        <w:t>ð</w:t>
      </w:r>
      <w:r>
        <w:rPr>
          <w:rFonts w:cs="Times New Roman"/>
          <w:szCs w:val="24"/>
        </w:rPr>
        <w:t xml:space="preserve"> </w:t>
      </w:r>
      <w:r w:rsidR="00491748" w:rsidRPr="00491748">
        <w:rPr>
          <w:rFonts w:cs="Times New Roman"/>
          <w:szCs w:val="24"/>
        </w:rPr>
        <w:t>áseta hægri individuelt solvenskrav</w:t>
      </w:r>
      <w:r>
        <w:rPr>
          <w:rFonts w:cs="Times New Roman"/>
          <w:szCs w:val="24"/>
        </w:rPr>
        <w:t>.</w:t>
      </w:r>
    </w:p>
    <w:p w:rsidR="00740ACD" w:rsidRDefault="00740ACD" w:rsidP="00491748">
      <w:pPr>
        <w:spacing w:after="0"/>
        <w:rPr>
          <w:rFonts w:cs="Times New Roman"/>
          <w:szCs w:val="24"/>
        </w:rPr>
      </w:pPr>
    </w:p>
    <w:p w:rsidR="000168A4" w:rsidRDefault="00A46E7B" w:rsidP="00491748">
      <w:pPr>
        <w:spacing w:after="0"/>
        <w:rPr>
          <w:rFonts w:cs="Times New Roman"/>
          <w:szCs w:val="24"/>
        </w:rPr>
      </w:pPr>
      <w:r>
        <w:rPr>
          <w:rFonts w:cs="Times New Roman"/>
          <w:szCs w:val="24"/>
        </w:rPr>
        <w:t>I</w:t>
      </w:r>
      <w:r w:rsidR="00740ACD" w:rsidRPr="00740ACD">
        <w:rPr>
          <w:rFonts w:cs="Times New Roman"/>
          <w:szCs w:val="24"/>
        </w:rPr>
        <w:t>ndividuell</w:t>
      </w:r>
      <w:r w:rsidR="00E067C5">
        <w:rPr>
          <w:rFonts w:cs="Times New Roman"/>
          <w:szCs w:val="24"/>
        </w:rPr>
        <w:t xml:space="preserve">i </w:t>
      </w:r>
      <w:r w:rsidR="00740ACD" w:rsidRPr="00740ACD">
        <w:rPr>
          <w:rFonts w:cs="Times New Roman"/>
          <w:szCs w:val="24"/>
        </w:rPr>
        <w:t>solvenstørv</w:t>
      </w:r>
      <w:r w:rsidR="00E067C5">
        <w:rPr>
          <w:rFonts w:cs="Times New Roman"/>
          <w:szCs w:val="24"/>
        </w:rPr>
        <w:t>ur</w:t>
      </w:r>
      <w:r w:rsidR="00740ACD" w:rsidRPr="00740ACD">
        <w:rPr>
          <w:rFonts w:cs="Times New Roman"/>
          <w:szCs w:val="24"/>
        </w:rPr>
        <w:t>in</w:t>
      </w:r>
      <w:r>
        <w:rPr>
          <w:rFonts w:cs="Times New Roman"/>
          <w:szCs w:val="24"/>
        </w:rPr>
        <w:t xml:space="preserve"> </w:t>
      </w:r>
      <w:r w:rsidR="00740ACD" w:rsidRPr="00740ACD">
        <w:rPr>
          <w:rFonts w:cs="Times New Roman"/>
          <w:szCs w:val="24"/>
        </w:rPr>
        <w:t>svarar til kapitaltørvin eftir einari samlað</w:t>
      </w:r>
      <w:r w:rsidR="00E57574">
        <w:rPr>
          <w:rFonts w:cs="Times New Roman"/>
          <w:szCs w:val="24"/>
        </w:rPr>
        <w:t>ari meting av øllum týðandi váðum</w:t>
      </w:r>
      <w:r w:rsidR="00740ACD" w:rsidRPr="00740ACD">
        <w:rPr>
          <w:rFonts w:cs="Times New Roman"/>
          <w:szCs w:val="24"/>
        </w:rPr>
        <w:t>.</w:t>
      </w:r>
      <w:r>
        <w:rPr>
          <w:rFonts w:cs="Times New Roman"/>
          <w:szCs w:val="24"/>
        </w:rPr>
        <w:t xml:space="preserve"> Kravið </w:t>
      </w:r>
      <w:r w:rsidR="00E067C5">
        <w:rPr>
          <w:rFonts w:cs="Times New Roman"/>
          <w:szCs w:val="24"/>
        </w:rPr>
        <w:t>s</w:t>
      </w:r>
      <w:r>
        <w:rPr>
          <w:rFonts w:cs="Times New Roman"/>
          <w:szCs w:val="24"/>
        </w:rPr>
        <w:t>kal tryggja, at tað er</w:t>
      </w:r>
      <w:r w:rsidR="00E57574">
        <w:rPr>
          <w:rFonts w:cs="Times New Roman"/>
          <w:szCs w:val="24"/>
        </w:rPr>
        <w:t>u</w:t>
      </w:r>
      <w:r>
        <w:rPr>
          <w:rFonts w:cs="Times New Roman"/>
          <w:szCs w:val="24"/>
        </w:rPr>
        <w:t xml:space="preserve"> sera líti</w:t>
      </w:r>
      <w:r w:rsidR="00E067C5">
        <w:rPr>
          <w:rFonts w:cs="Times New Roman"/>
          <w:szCs w:val="24"/>
        </w:rPr>
        <w:t>l</w:t>
      </w:r>
      <w:r>
        <w:rPr>
          <w:rFonts w:cs="Times New Roman"/>
          <w:szCs w:val="24"/>
        </w:rPr>
        <w:t xml:space="preserve"> sannlíki</w:t>
      </w:r>
      <w:r w:rsidR="00E067C5">
        <w:rPr>
          <w:rFonts w:cs="Times New Roman"/>
          <w:szCs w:val="24"/>
        </w:rPr>
        <w:t>ndi</w:t>
      </w:r>
      <w:r>
        <w:rPr>
          <w:rFonts w:cs="Times New Roman"/>
          <w:szCs w:val="24"/>
        </w:rPr>
        <w:t xml:space="preserve"> fyri</w:t>
      </w:r>
      <w:r w:rsidR="00E067C5">
        <w:rPr>
          <w:rFonts w:cs="Times New Roman"/>
          <w:szCs w:val="24"/>
        </w:rPr>
        <w:t>,</w:t>
      </w:r>
      <w:r>
        <w:rPr>
          <w:rFonts w:cs="Times New Roman"/>
          <w:szCs w:val="24"/>
        </w:rPr>
        <w:t xml:space="preserve"> at tryggingartakararnir verða fyri tapi. </w:t>
      </w:r>
    </w:p>
    <w:p w:rsidR="001A279E" w:rsidRDefault="001A279E" w:rsidP="00491748">
      <w:pPr>
        <w:spacing w:after="0"/>
        <w:rPr>
          <w:rFonts w:cs="Times New Roman"/>
          <w:szCs w:val="24"/>
        </w:rPr>
      </w:pPr>
    </w:p>
    <w:p w:rsidR="00F85AA0" w:rsidRDefault="000168A4" w:rsidP="00491748">
      <w:pPr>
        <w:spacing w:after="0"/>
        <w:rPr>
          <w:rFonts w:cs="Times New Roman"/>
          <w:szCs w:val="24"/>
        </w:rPr>
      </w:pPr>
      <w:r>
        <w:rPr>
          <w:rFonts w:cs="Times New Roman"/>
          <w:szCs w:val="24"/>
        </w:rPr>
        <w:t xml:space="preserve">Samsvarandi reglur eru ásettar í § 124 í </w:t>
      </w:r>
      <w:r w:rsidR="0075025A">
        <w:rPr>
          <w:rFonts w:cs="Times New Roman"/>
          <w:szCs w:val="24"/>
        </w:rPr>
        <w:t>FIL</w:t>
      </w:r>
      <w:r>
        <w:rPr>
          <w:rFonts w:cs="Times New Roman"/>
          <w:szCs w:val="24"/>
        </w:rPr>
        <w:t>, sum tryggja</w:t>
      </w:r>
      <w:r w:rsidR="00E57574">
        <w:rPr>
          <w:rFonts w:cs="Times New Roman"/>
          <w:szCs w:val="24"/>
        </w:rPr>
        <w:t>,</w:t>
      </w:r>
      <w:r>
        <w:rPr>
          <w:rFonts w:cs="Times New Roman"/>
          <w:szCs w:val="24"/>
        </w:rPr>
        <w:t xml:space="preserve"> at </w:t>
      </w:r>
      <w:r w:rsidR="00E90765">
        <w:rPr>
          <w:rFonts w:cs="Times New Roman"/>
          <w:szCs w:val="24"/>
        </w:rPr>
        <w:t xml:space="preserve">peningur </w:t>
      </w:r>
      <w:r>
        <w:rPr>
          <w:rFonts w:cs="Times New Roman"/>
          <w:szCs w:val="24"/>
        </w:rPr>
        <w:t>ikki verður fluttur frá bankanum til tryggingarfeløgini á ein hátt, sum setur bankan og innsk</w:t>
      </w:r>
      <w:r w:rsidR="00F85AA0">
        <w:rPr>
          <w:rFonts w:cs="Times New Roman"/>
          <w:szCs w:val="24"/>
        </w:rPr>
        <w:t xml:space="preserve">jótarar </w:t>
      </w:r>
      <w:r>
        <w:rPr>
          <w:rFonts w:cs="Times New Roman"/>
          <w:szCs w:val="24"/>
        </w:rPr>
        <w:t>í bankan í v</w:t>
      </w:r>
      <w:r w:rsidR="00F85AA0">
        <w:rPr>
          <w:rFonts w:cs="Times New Roman"/>
          <w:szCs w:val="24"/>
        </w:rPr>
        <w:t>áða.</w:t>
      </w:r>
    </w:p>
    <w:p w:rsidR="00F85AA0" w:rsidRDefault="00F85AA0" w:rsidP="00491748">
      <w:pPr>
        <w:spacing w:after="0"/>
        <w:rPr>
          <w:rFonts w:cs="Times New Roman"/>
          <w:szCs w:val="24"/>
        </w:rPr>
      </w:pPr>
    </w:p>
    <w:p w:rsidR="00565139" w:rsidRDefault="00565139" w:rsidP="00491748">
      <w:pPr>
        <w:spacing w:after="0"/>
        <w:rPr>
          <w:rFonts w:cs="Times New Roman"/>
          <w:szCs w:val="24"/>
        </w:rPr>
      </w:pPr>
      <w:r>
        <w:rPr>
          <w:rFonts w:cs="Times New Roman"/>
          <w:szCs w:val="24"/>
        </w:rPr>
        <w:t>Solvensreglurnar og aðrar reglur í tryggingarlógini tryggja sostatt</w:t>
      </w:r>
      <w:r w:rsidR="00801913">
        <w:rPr>
          <w:rFonts w:cs="Times New Roman"/>
          <w:szCs w:val="24"/>
        </w:rPr>
        <w:t xml:space="preserve">, at </w:t>
      </w:r>
      <w:r w:rsidR="00F85AA0">
        <w:rPr>
          <w:rFonts w:cs="Times New Roman"/>
          <w:szCs w:val="24"/>
        </w:rPr>
        <w:t xml:space="preserve">innanhýsis </w:t>
      </w:r>
      <w:r w:rsidR="00E90765">
        <w:rPr>
          <w:rFonts w:cs="Times New Roman"/>
          <w:szCs w:val="24"/>
        </w:rPr>
        <w:t xml:space="preserve">peningaflytingar </w:t>
      </w:r>
      <w:r w:rsidR="00F85AA0">
        <w:rPr>
          <w:rFonts w:cs="Times New Roman"/>
          <w:szCs w:val="24"/>
        </w:rPr>
        <w:t>í samtakinum</w:t>
      </w:r>
      <w:r w:rsidR="000E27A0">
        <w:rPr>
          <w:rFonts w:cs="Times New Roman"/>
          <w:szCs w:val="24"/>
        </w:rPr>
        <w:t xml:space="preserve"> </w:t>
      </w:r>
      <w:r w:rsidR="00801913">
        <w:rPr>
          <w:rFonts w:cs="Times New Roman"/>
          <w:szCs w:val="24"/>
        </w:rPr>
        <w:t xml:space="preserve">ikki seta </w:t>
      </w:r>
      <w:r w:rsidR="00E57574">
        <w:rPr>
          <w:rFonts w:cs="Times New Roman"/>
          <w:szCs w:val="24"/>
        </w:rPr>
        <w:t>tryggingartakararnar</w:t>
      </w:r>
      <w:r>
        <w:rPr>
          <w:rFonts w:cs="Times New Roman"/>
          <w:szCs w:val="24"/>
        </w:rPr>
        <w:t xml:space="preserve"> í váða fyri tapi – eisini í tí førinum, at OT </w:t>
      </w:r>
      <w:r w:rsidR="002A36B8">
        <w:rPr>
          <w:rFonts w:cs="Times New Roman"/>
          <w:szCs w:val="24"/>
        </w:rPr>
        <w:t xml:space="preserve">hevur gjørt innskot í bankan ella </w:t>
      </w:r>
      <w:r>
        <w:rPr>
          <w:rFonts w:cs="Times New Roman"/>
          <w:szCs w:val="24"/>
        </w:rPr>
        <w:t xml:space="preserve">veðheldur fyri </w:t>
      </w:r>
      <w:r w:rsidR="002A36B8">
        <w:rPr>
          <w:rFonts w:cs="Times New Roman"/>
          <w:szCs w:val="24"/>
        </w:rPr>
        <w:t xml:space="preserve">lánum hjá </w:t>
      </w:r>
      <w:r>
        <w:rPr>
          <w:rFonts w:cs="Times New Roman"/>
          <w:szCs w:val="24"/>
        </w:rPr>
        <w:t>bankan</w:t>
      </w:r>
      <w:r w:rsidR="002A36B8">
        <w:rPr>
          <w:rFonts w:cs="Times New Roman"/>
          <w:szCs w:val="24"/>
        </w:rPr>
        <w:t>um,</w:t>
      </w:r>
      <w:r>
        <w:rPr>
          <w:rFonts w:cs="Times New Roman"/>
          <w:szCs w:val="24"/>
        </w:rPr>
        <w:t xml:space="preserve"> og bankin fer av knóranum.</w:t>
      </w:r>
    </w:p>
    <w:p w:rsidR="00565139" w:rsidRDefault="00565139" w:rsidP="00491748">
      <w:pPr>
        <w:spacing w:after="0"/>
        <w:rPr>
          <w:rFonts w:cs="Times New Roman"/>
          <w:szCs w:val="24"/>
        </w:rPr>
      </w:pPr>
    </w:p>
    <w:p w:rsidR="0084540C" w:rsidRDefault="00680E34" w:rsidP="00491748">
      <w:pPr>
        <w:spacing w:after="0"/>
        <w:rPr>
          <w:rFonts w:cs="Times New Roman"/>
          <w:szCs w:val="24"/>
        </w:rPr>
      </w:pPr>
      <w:r>
        <w:rPr>
          <w:rFonts w:cs="Times New Roman"/>
          <w:szCs w:val="24"/>
        </w:rPr>
        <w:t xml:space="preserve">Tað forðar hinvegin ikki fyri, at </w:t>
      </w:r>
      <w:r w:rsidR="006C6588" w:rsidRPr="006C6588">
        <w:rPr>
          <w:rFonts w:cs="Times New Roman"/>
          <w:szCs w:val="24"/>
        </w:rPr>
        <w:t xml:space="preserve">OT eitt nú kann fíggja kapitalinnskot í haldfelagsskapin ella </w:t>
      </w:r>
      <w:r w:rsidR="00E90765">
        <w:rPr>
          <w:rFonts w:cs="Times New Roman"/>
          <w:szCs w:val="24"/>
        </w:rPr>
        <w:t>Betri</w:t>
      </w:r>
      <w:r w:rsidR="00E90765" w:rsidRPr="006C6588">
        <w:rPr>
          <w:rFonts w:cs="Times New Roman"/>
          <w:szCs w:val="24"/>
        </w:rPr>
        <w:t xml:space="preserve"> </w:t>
      </w:r>
      <w:r w:rsidR="006C6588" w:rsidRPr="006C6588">
        <w:rPr>
          <w:rFonts w:cs="Times New Roman"/>
          <w:szCs w:val="24"/>
        </w:rPr>
        <w:t xml:space="preserve">Banka við at taka lán og seta partabrøvini í </w:t>
      </w:r>
      <w:r w:rsidR="006C6588">
        <w:rPr>
          <w:rFonts w:cs="Times New Roman"/>
          <w:szCs w:val="24"/>
        </w:rPr>
        <w:t>Betri Trygging</w:t>
      </w:r>
      <w:r w:rsidR="002A36B8">
        <w:rPr>
          <w:rFonts w:cs="Times New Roman"/>
          <w:szCs w:val="24"/>
        </w:rPr>
        <w:t xml:space="preserve"> </w:t>
      </w:r>
      <w:r w:rsidR="006C6588" w:rsidRPr="006C6588">
        <w:rPr>
          <w:rFonts w:cs="Times New Roman"/>
          <w:szCs w:val="24"/>
        </w:rPr>
        <w:t>og Betri Pensjón í veð.</w:t>
      </w:r>
      <w:r w:rsidR="002A36B8">
        <w:rPr>
          <w:rFonts w:cs="Times New Roman"/>
          <w:szCs w:val="24"/>
        </w:rPr>
        <w:t xml:space="preserve"> </w:t>
      </w:r>
    </w:p>
    <w:p w:rsidR="0084540C" w:rsidRDefault="0084540C" w:rsidP="00491748">
      <w:pPr>
        <w:spacing w:after="0"/>
        <w:rPr>
          <w:rFonts w:cs="Times New Roman"/>
          <w:szCs w:val="24"/>
        </w:rPr>
      </w:pPr>
    </w:p>
    <w:p w:rsidR="0084540C" w:rsidRDefault="002A36B8" w:rsidP="00491748">
      <w:pPr>
        <w:spacing w:after="0"/>
        <w:rPr>
          <w:rFonts w:cs="Times New Roman"/>
          <w:szCs w:val="24"/>
        </w:rPr>
      </w:pPr>
      <w:r>
        <w:rPr>
          <w:rFonts w:cs="Times New Roman"/>
          <w:szCs w:val="24"/>
        </w:rPr>
        <w:t>Um OT ger innskot í bankan við lántøku</w:t>
      </w:r>
      <w:r w:rsidR="00A8484C">
        <w:rPr>
          <w:rFonts w:cs="Times New Roman"/>
          <w:szCs w:val="24"/>
        </w:rPr>
        <w:t xml:space="preserve"> ella </w:t>
      </w:r>
      <w:r>
        <w:rPr>
          <w:rFonts w:cs="Times New Roman"/>
          <w:szCs w:val="24"/>
        </w:rPr>
        <w:t>við at seta partabrøvini í veð fyri bankan</w:t>
      </w:r>
      <w:r w:rsidR="0084540C">
        <w:rPr>
          <w:rFonts w:cs="Times New Roman"/>
          <w:szCs w:val="24"/>
        </w:rPr>
        <w:t>,</w:t>
      </w:r>
      <w:r w:rsidR="00A8484C">
        <w:rPr>
          <w:rFonts w:cs="Times New Roman"/>
          <w:szCs w:val="24"/>
        </w:rPr>
        <w:t xml:space="preserve"> kann tað, um illa vil til, og bankin fer av knóranum, hava við sær, at OT eisini fer av knóranum</w:t>
      </w:r>
      <w:r w:rsidR="0084540C">
        <w:rPr>
          <w:rFonts w:cs="Times New Roman"/>
          <w:szCs w:val="24"/>
        </w:rPr>
        <w:t>. Tryggingarfeløgini vórðu í tí førinum y</w:t>
      </w:r>
      <w:r w:rsidR="002F228C">
        <w:rPr>
          <w:rFonts w:cs="Times New Roman"/>
          <w:szCs w:val="24"/>
        </w:rPr>
        <w:t>v</w:t>
      </w:r>
      <w:r w:rsidR="0084540C">
        <w:rPr>
          <w:rFonts w:cs="Times New Roman"/>
          <w:szCs w:val="24"/>
        </w:rPr>
        <w:t>irtikin av nýggjum eigarum.</w:t>
      </w:r>
    </w:p>
    <w:p w:rsidR="0084540C" w:rsidRDefault="0084540C" w:rsidP="00491748">
      <w:pPr>
        <w:spacing w:after="0"/>
        <w:rPr>
          <w:rFonts w:cs="Times New Roman"/>
          <w:szCs w:val="24"/>
        </w:rPr>
      </w:pPr>
    </w:p>
    <w:p w:rsidR="00AB5C0C" w:rsidRDefault="008302A0" w:rsidP="00491748">
      <w:pPr>
        <w:spacing w:after="0"/>
        <w:rPr>
          <w:rFonts w:cs="Times New Roman"/>
          <w:szCs w:val="24"/>
        </w:rPr>
      </w:pPr>
      <w:r>
        <w:rPr>
          <w:rFonts w:cs="Times New Roman"/>
          <w:szCs w:val="24"/>
        </w:rPr>
        <w:t>Skotið verður tí upp</w:t>
      </w:r>
      <w:r w:rsidR="00AB5C0C">
        <w:rPr>
          <w:rFonts w:cs="Times New Roman"/>
          <w:szCs w:val="24"/>
        </w:rPr>
        <w:t xml:space="preserve"> at seta í vinnufyritøkulógina reglur um </w:t>
      </w:r>
      <w:r w:rsidR="008E30A8">
        <w:rPr>
          <w:rFonts w:cs="Times New Roman"/>
          <w:szCs w:val="24"/>
        </w:rPr>
        <w:t xml:space="preserve">peningaflytingar </w:t>
      </w:r>
      <w:r w:rsidR="00AB5C0C">
        <w:rPr>
          <w:rFonts w:cs="Times New Roman"/>
          <w:szCs w:val="24"/>
        </w:rPr>
        <w:t>millum OT og</w:t>
      </w:r>
      <w:r w:rsidR="007501DE">
        <w:rPr>
          <w:rFonts w:cs="Times New Roman"/>
          <w:szCs w:val="24"/>
        </w:rPr>
        <w:t xml:space="preserve"> aðrar fyritøkur í samtøkuni.</w:t>
      </w:r>
    </w:p>
    <w:p w:rsidR="007501DE" w:rsidRDefault="007501DE" w:rsidP="00491748">
      <w:pPr>
        <w:spacing w:after="0"/>
        <w:rPr>
          <w:rFonts w:cs="Times New Roman"/>
          <w:szCs w:val="24"/>
        </w:rPr>
      </w:pPr>
    </w:p>
    <w:p w:rsidR="00A97051" w:rsidRPr="00A97051" w:rsidRDefault="00A97051" w:rsidP="00491748">
      <w:pPr>
        <w:spacing w:after="0"/>
        <w:rPr>
          <w:rFonts w:cs="Times New Roman"/>
          <w:b/>
          <w:szCs w:val="24"/>
        </w:rPr>
      </w:pPr>
      <w:r w:rsidRPr="00A97051">
        <w:rPr>
          <w:rFonts w:cs="Times New Roman"/>
          <w:b/>
          <w:szCs w:val="24"/>
        </w:rPr>
        <w:t>1.</w:t>
      </w:r>
      <w:r w:rsidR="00ED0A64">
        <w:rPr>
          <w:rFonts w:cs="Times New Roman"/>
          <w:b/>
          <w:szCs w:val="24"/>
        </w:rPr>
        <w:t>5</w:t>
      </w:r>
      <w:r w:rsidRPr="00A97051">
        <w:rPr>
          <w:rFonts w:cs="Times New Roman"/>
          <w:b/>
          <w:szCs w:val="24"/>
        </w:rPr>
        <w:t xml:space="preserve">.2. Kapitalkrøv til </w:t>
      </w:r>
      <w:r w:rsidR="008302A0">
        <w:rPr>
          <w:rFonts w:cs="Times New Roman"/>
          <w:b/>
          <w:szCs w:val="24"/>
        </w:rPr>
        <w:t>fíggjarliga</w:t>
      </w:r>
      <w:r w:rsidR="009E60EF">
        <w:rPr>
          <w:rFonts w:cs="Times New Roman"/>
          <w:b/>
          <w:szCs w:val="24"/>
        </w:rPr>
        <w:t xml:space="preserve">r </w:t>
      </w:r>
      <w:r w:rsidRPr="00A97051">
        <w:rPr>
          <w:rFonts w:cs="Times New Roman"/>
          <w:b/>
          <w:szCs w:val="24"/>
        </w:rPr>
        <w:t>haldfelgs</w:t>
      </w:r>
      <w:r w:rsidR="009E60EF">
        <w:rPr>
          <w:rFonts w:cs="Times New Roman"/>
          <w:b/>
          <w:szCs w:val="24"/>
        </w:rPr>
        <w:t>s</w:t>
      </w:r>
      <w:r w:rsidRPr="00A97051">
        <w:rPr>
          <w:rFonts w:cs="Times New Roman"/>
          <w:b/>
          <w:szCs w:val="24"/>
        </w:rPr>
        <w:t>kapir</w:t>
      </w:r>
    </w:p>
    <w:p w:rsidR="00A97051" w:rsidRDefault="00A97051" w:rsidP="00491748">
      <w:pPr>
        <w:spacing w:after="0"/>
        <w:rPr>
          <w:rFonts w:cs="Times New Roman"/>
          <w:szCs w:val="24"/>
        </w:rPr>
      </w:pPr>
    </w:p>
    <w:p w:rsidR="00A53425" w:rsidRDefault="00A97051" w:rsidP="00A97051">
      <w:pPr>
        <w:spacing w:after="0"/>
        <w:rPr>
          <w:rFonts w:cs="Times New Roman"/>
          <w:szCs w:val="24"/>
        </w:rPr>
      </w:pPr>
      <w:r w:rsidRPr="00A97051">
        <w:rPr>
          <w:rFonts w:cs="Times New Roman"/>
          <w:szCs w:val="24"/>
        </w:rPr>
        <w:t xml:space="preserve">Ognarfelagið Tryggingartakaranna (OT) og </w:t>
      </w:r>
      <w:r w:rsidR="00400256">
        <w:rPr>
          <w:rFonts w:cs="Times New Roman"/>
          <w:szCs w:val="24"/>
        </w:rPr>
        <w:t>Betri P/f</w:t>
      </w:r>
      <w:r w:rsidRPr="00A97051">
        <w:rPr>
          <w:rFonts w:cs="Times New Roman"/>
          <w:szCs w:val="24"/>
        </w:rPr>
        <w:t xml:space="preserve"> eru fíggjarligir haldfelagsskapir</w:t>
      </w:r>
      <w:r w:rsidR="001A279E">
        <w:rPr>
          <w:rFonts w:cs="Times New Roman"/>
          <w:szCs w:val="24"/>
        </w:rPr>
        <w:t xml:space="preserve"> eftir </w:t>
      </w:r>
      <w:r w:rsidRPr="00A97051">
        <w:rPr>
          <w:rFonts w:cs="Times New Roman"/>
          <w:szCs w:val="24"/>
        </w:rPr>
        <w:t xml:space="preserve">§ 5, stk. 1, nr. </w:t>
      </w:r>
      <w:r w:rsidR="00A53425">
        <w:rPr>
          <w:rFonts w:cs="Times New Roman"/>
          <w:szCs w:val="24"/>
        </w:rPr>
        <w:t xml:space="preserve">10 </w:t>
      </w:r>
      <w:r w:rsidRPr="00A97051">
        <w:rPr>
          <w:rFonts w:cs="Times New Roman"/>
          <w:szCs w:val="24"/>
        </w:rPr>
        <w:t xml:space="preserve">í </w:t>
      </w:r>
      <w:r w:rsidR="00A53425">
        <w:rPr>
          <w:rFonts w:cs="Times New Roman"/>
          <w:szCs w:val="24"/>
        </w:rPr>
        <w:t>FIL</w:t>
      </w:r>
      <w:r>
        <w:rPr>
          <w:rFonts w:cs="Times New Roman"/>
          <w:szCs w:val="24"/>
        </w:rPr>
        <w:t>,</w:t>
      </w:r>
      <w:r w:rsidR="00A53425">
        <w:rPr>
          <w:rFonts w:cs="Times New Roman"/>
          <w:szCs w:val="24"/>
        </w:rPr>
        <w:t xml:space="preserve"> sum ásetur:</w:t>
      </w:r>
      <w:r>
        <w:rPr>
          <w:rFonts w:cs="Times New Roman"/>
          <w:szCs w:val="24"/>
        </w:rPr>
        <w:t xml:space="preserve"> </w:t>
      </w:r>
    </w:p>
    <w:p w:rsidR="00A53425" w:rsidRPr="00A53425" w:rsidRDefault="00A53425" w:rsidP="00A53425">
      <w:pPr>
        <w:spacing w:after="0"/>
        <w:rPr>
          <w:rFonts w:cs="Times New Roman"/>
          <w:szCs w:val="24"/>
        </w:rPr>
      </w:pPr>
      <w:r>
        <w:rPr>
          <w:rFonts w:cs="Times New Roman"/>
          <w:szCs w:val="24"/>
        </w:rPr>
        <w:t>“</w:t>
      </w:r>
      <w:r w:rsidRPr="00A53425">
        <w:rPr>
          <w:rFonts w:cs="Times New Roman"/>
          <w:szCs w:val="24"/>
        </w:rPr>
        <w:t>Finansiel holdingvirksomhed:</w:t>
      </w:r>
    </w:p>
    <w:p w:rsidR="00A53425" w:rsidRPr="00A53425" w:rsidRDefault="00A53425" w:rsidP="00A53425">
      <w:pPr>
        <w:pStyle w:val="Listeafsnit"/>
        <w:numPr>
          <w:ilvl w:val="0"/>
          <w:numId w:val="16"/>
        </w:numPr>
        <w:spacing w:after="0"/>
        <w:rPr>
          <w:rFonts w:cs="Times New Roman"/>
          <w:szCs w:val="24"/>
        </w:rPr>
      </w:pPr>
      <w:r w:rsidRPr="00A53425">
        <w:rPr>
          <w:rFonts w:cs="Times New Roman"/>
          <w:szCs w:val="24"/>
        </w:rPr>
        <w:t>En modervirksomhed, der ikke er en finansiel virksomhed, i en koncern, hvor mindst én af dattervirksomhederne i koncernen er en finansiel virksomhed, og hvor mindst 40 pct. af den samlede balancesum for koncernen og modervirksomhedens associerede virksomheder vedrører den finansielle sektor, jf. dog stk. 7, eller</w:t>
      </w:r>
    </w:p>
    <w:p w:rsidR="00A97051" w:rsidRPr="00A53425" w:rsidRDefault="00A53425" w:rsidP="00A53425">
      <w:pPr>
        <w:pStyle w:val="Listeafsnit"/>
        <w:numPr>
          <w:ilvl w:val="0"/>
          <w:numId w:val="16"/>
        </w:numPr>
        <w:tabs>
          <w:tab w:val="left" w:pos="1200"/>
        </w:tabs>
        <w:spacing w:after="0"/>
        <w:rPr>
          <w:rFonts w:cs="Times New Roman"/>
          <w:szCs w:val="24"/>
        </w:rPr>
      </w:pPr>
      <w:r w:rsidRPr="00A53425">
        <w:rPr>
          <w:rFonts w:cs="Times New Roman"/>
          <w:szCs w:val="24"/>
        </w:rPr>
        <w:t>en modervirksomhed, hvis virksomhed udelukkende eller hovedsagelig består i at eje kapitalandele i dattervirksomheder, der er finansielle virksomheder eller finansieringsinstitutter, og hvor mindst én dattervirksomhed er en finansiel virksomhed.</w:t>
      </w:r>
      <w:r>
        <w:rPr>
          <w:rFonts w:cs="Times New Roman"/>
          <w:szCs w:val="24"/>
        </w:rPr>
        <w:t>”</w:t>
      </w:r>
    </w:p>
    <w:p w:rsidR="00A53425" w:rsidRDefault="00A53425" w:rsidP="00A97051">
      <w:pPr>
        <w:spacing w:after="0"/>
        <w:rPr>
          <w:rFonts w:cs="Times New Roman"/>
          <w:szCs w:val="24"/>
        </w:rPr>
      </w:pPr>
    </w:p>
    <w:p w:rsidR="009B33BC" w:rsidRDefault="00A97051" w:rsidP="00A97051">
      <w:pPr>
        <w:spacing w:after="0"/>
      </w:pPr>
      <w:r>
        <w:rPr>
          <w:rFonts w:cs="Times New Roman"/>
          <w:szCs w:val="24"/>
        </w:rPr>
        <w:t>F</w:t>
      </w:r>
      <w:r w:rsidRPr="00A97051">
        <w:rPr>
          <w:rFonts w:cs="Times New Roman"/>
          <w:szCs w:val="24"/>
        </w:rPr>
        <w:t>íggjarligir haldfelagsskapir</w:t>
      </w:r>
      <w:r>
        <w:rPr>
          <w:rFonts w:cs="Times New Roman"/>
          <w:szCs w:val="24"/>
        </w:rPr>
        <w:t xml:space="preserve"> </w:t>
      </w:r>
      <w:r w:rsidRPr="00A97051">
        <w:rPr>
          <w:rFonts w:cs="Times New Roman"/>
          <w:szCs w:val="24"/>
        </w:rPr>
        <w:t>skulu hava ein ávísan kapital fyri at kunna reka virksemi</w:t>
      </w:r>
      <w:r>
        <w:rPr>
          <w:rFonts w:cs="Times New Roman"/>
          <w:szCs w:val="24"/>
        </w:rPr>
        <w:t>ð</w:t>
      </w:r>
      <w:r w:rsidRPr="00A97051">
        <w:rPr>
          <w:rFonts w:cs="Times New Roman"/>
          <w:szCs w:val="24"/>
        </w:rPr>
        <w:t>. Kapitalkravið verður gjørt upp sambært reglunum fyri peningastovnar sum eitt 8 % krav av teimum váðamettu aktivunum.</w:t>
      </w:r>
      <w:r w:rsidR="009B33BC" w:rsidRPr="009B33BC">
        <w:t xml:space="preserve"> </w:t>
      </w:r>
    </w:p>
    <w:p w:rsidR="009B33BC" w:rsidRDefault="009B33BC" w:rsidP="00A97051">
      <w:pPr>
        <w:spacing w:after="0"/>
      </w:pPr>
    </w:p>
    <w:p w:rsidR="009B33BC" w:rsidRPr="009B33BC" w:rsidRDefault="009B33BC" w:rsidP="009B33BC">
      <w:pPr>
        <w:spacing w:after="0"/>
        <w:rPr>
          <w:rFonts w:cs="Times New Roman"/>
          <w:szCs w:val="24"/>
        </w:rPr>
      </w:pPr>
      <w:r>
        <w:t>Kapitalkravið er ikki ásett eftir eini uppgerð av i</w:t>
      </w:r>
      <w:r w:rsidRPr="009B33BC">
        <w:rPr>
          <w:rFonts w:cs="Times New Roman"/>
          <w:szCs w:val="24"/>
        </w:rPr>
        <w:t>ndividuell</w:t>
      </w:r>
      <w:r>
        <w:rPr>
          <w:rFonts w:cs="Times New Roman"/>
          <w:szCs w:val="24"/>
        </w:rPr>
        <w:t xml:space="preserve">a </w:t>
      </w:r>
      <w:r w:rsidRPr="009B33BC">
        <w:rPr>
          <w:rFonts w:cs="Times New Roman"/>
          <w:szCs w:val="24"/>
        </w:rPr>
        <w:t>solvenstørv</w:t>
      </w:r>
      <w:r>
        <w:rPr>
          <w:rFonts w:cs="Times New Roman"/>
          <w:szCs w:val="24"/>
        </w:rPr>
        <w:t xml:space="preserve">inum, og </w:t>
      </w:r>
      <w:r w:rsidR="008302A0">
        <w:rPr>
          <w:rFonts w:cs="Times New Roman"/>
          <w:szCs w:val="24"/>
        </w:rPr>
        <w:t>leggur</w:t>
      </w:r>
      <w:r w:rsidRPr="009B33BC">
        <w:rPr>
          <w:rFonts w:cs="Times New Roman"/>
          <w:szCs w:val="24"/>
        </w:rPr>
        <w:t xml:space="preserve"> </w:t>
      </w:r>
      <w:r>
        <w:rPr>
          <w:rFonts w:cs="Times New Roman"/>
          <w:szCs w:val="24"/>
        </w:rPr>
        <w:t>tí i</w:t>
      </w:r>
      <w:r w:rsidRPr="009B33BC">
        <w:rPr>
          <w:rFonts w:cs="Times New Roman"/>
          <w:szCs w:val="24"/>
        </w:rPr>
        <w:t xml:space="preserve">kki </w:t>
      </w:r>
      <w:r w:rsidR="008302A0">
        <w:rPr>
          <w:rFonts w:cs="Times New Roman"/>
          <w:szCs w:val="24"/>
        </w:rPr>
        <w:t xml:space="preserve">upp </w:t>
      </w:r>
      <w:r w:rsidRPr="009B33BC">
        <w:rPr>
          <w:rFonts w:cs="Times New Roman"/>
          <w:szCs w:val="24"/>
        </w:rPr>
        <w:t xml:space="preserve">fyri øllum </w:t>
      </w:r>
      <w:r w:rsidR="008302A0">
        <w:rPr>
          <w:rFonts w:cs="Times New Roman"/>
          <w:szCs w:val="24"/>
        </w:rPr>
        <w:t>teimum váðum</w:t>
      </w:r>
      <w:r w:rsidRPr="009B33BC">
        <w:rPr>
          <w:rFonts w:cs="Times New Roman"/>
          <w:szCs w:val="24"/>
        </w:rPr>
        <w:t>, sum eru í felagnum, í mun til tann individuella solvenstørvin, sum svarar til kapitaltørvin eftir einari samlað</w:t>
      </w:r>
      <w:r w:rsidR="008302A0">
        <w:rPr>
          <w:rFonts w:cs="Times New Roman"/>
          <w:szCs w:val="24"/>
        </w:rPr>
        <w:t>ari meting av øllum týðandi váðum</w:t>
      </w:r>
      <w:r w:rsidRPr="009B33BC">
        <w:rPr>
          <w:rFonts w:cs="Times New Roman"/>
          <w:szCs w:val="24"/>
        </w:rPr>
        <w:t xml:space="preserve"> í </w:t>
      </w:r>
      <w:r w:rsidR="008302A0">
        <w:rPr>
          <w:rFonts w:cs="Times New Roman"/>
          <w:szCs w:val="24"/>
        </w:rPr>
        <w:t>felagnum</w:t>
      </w:r>
      <w:r w:rsidRPr="009B33BC">
        <w:rPr>
          <w:rFonts w:cs="Times New Roman"/>
          <w:szCs w:val="24"/>
        </w:rPr>
        <w:t>.</w:t>
      </w:r>
    </w:p>
    <w:p w:rsidR="009B33BC" w:rsidRDefault="009B33BC" w:rsidP="009B33BC">
      <w:pPr>
        <w:spacing w:after="0"/>
        <w:rPr>
          <w:rFonts w:cs="Times New Roman"/>
          <w:szCs w:val="24"/>
        </w:rPr>
      </w:pPr>
    </w:p>
    <w:p w:rsidR="009B33BC" w:rsidRDefault="009B33BC" w:rsidP="009B33BC">
      <w:pPr>
        <w:spacing w:after="0"/>
        <w:rPr>
          <w:rFonts w:cs="Times New Roman"/>
          <w:szCs w:val="24"/>
        </w:rPr>
      </w:pPr>
      <w:r w:rsidRPr="009B33BC">
        <w:rPr>
          <w:rFonts w:cs="Times New Roman"/>
          <w:szCs w:val="24"/>
        </w:rPr>
        <w:t xml:space="preserve">Avleiðingin av hesum kann gerast, at hóast OT og </w:t>
      </w:r>
      <w:r>
        <w:rPr>
          <w:rFonts w:cs="Times New Roman"/>
          <w:szCs w:val="24"/>
        </w:rPr>
        <w:t xml:space="preserve">Betri P/F </w:t>
      </w:r>
      <w:r w:rsidRPr="009B33BC">
        <w:rPr>
          <w:rFonts w:cs="Times New Roman"/>
          <w:szCs w:val="24"/>
        </w:rPr>
        <w:t>lúka 8 % kra</w:t>
      </w:r>
      <w:r w:rsidR="008302A0">
        <w:rPr>
          <w:rFonts w:cs="Times New Roman"/>
          <w:szCs w:val="24"/>
        </w:rPr>
        <w:t>við, kann tað vera vandi fyri</w:t>
      </w:r>
      <w:r w:rsidRPr="009B33BC">
        <w:rPr>
          <w:rFonts w:cs="Times New Roman"/>
          <w:szCs w:val="24"/>
        </w:rPr>
        <w:t xml:space="preserve">, at tað ikki er nóg mikið av kapitali til at dekka allan týðandi váða </w:t>
      </w:r>
      <w:r>
        <w:rPr>
          <w:rFonts w:cs="Times New Roman"/>
          <w:szCs w:val="24"/>
        </w:rPr>
        <w:t xml:space="preserve">á samtøkustigi, t.e. í OT og Betri P/F. </w:t>
      </w:r>
    </w:p>
    <w:p w:rsidR="009B33BC" w:rsidRDefault="009B33BC" w:rsidP="009B33BC">
      <w:pPr>
        <w:spacing w:after="0"/>
        <w:rPr>
          <w:rFonts w:cs="Times New Roman"/>
          <w:szCs w:val="24"/>
        </w:rPr>
      </w:pPr>
    </w:p>
    <w:p w:rsidR="007501DE" w:rsidRPr="007501DE" w:rsidRDefault="007501DE" w:rsidP="007501DE">
      <w:pPr>
        <w:rPr>
          <w:rFonts w:cs="Times New Roman"/>
          <w:szCs w:val="24"/>
        </w:rPr>
      </w:pPr>
      <w:r w:rsidRPr="007501DE">
        <w:rPr>
          <w:rFonts w:cs="Times New Roman"/>
          <w:szCs w:val="24"/>
        </w:rPr>
        <w:t xml:space="preserve">Við uppskotinum um at tryggingarhaldfelagið og bankahaldfelagið skulu vera í hvør sínum haldfelagsskapi, verða nýggju reglurnar um tryggingarhaldfeløg, sum verða ásettar í </w:t>
      </w:r>
      <w:r w:rsidR="008302A0">
        <w:rPr>
          <w:rFonts w:cs="Times New Roman"/>
          <w:szCs w:val="24"/>
        </w:rPr>
        <w:t>tryggingarlógini</w:t>
      </w:r>
      <w:r w:rsidR="0075025A">
        <w:rPr>
          <w:rFonts w:cs="Times New Roman"/>
          <w:szCs w:val="24"/>
        </w:rPr>
        <w:t xml:space="preserve"> </w:t>
      </w:r>
      <w:r w:rsidRPr="007501DE">
        <w:rPr>
          <w:rFonts w:cs="Times New Roman"/>
          <w:szCs w:val="24"/>
        </w:rPr>
        <w:t>við uppskotinum um at broyta tryggingarlógina, galdandi fyri haldfelagsskapir, herundir reglurnar um individuel solvenskrøv</w:t>
      </w:r>
      <w:r w:rsidR="00176B86">
        <w:rPr>
          <w:rFonts w:cs="Times New Roman"/>
          <w:szCs w:val="24"/>
        </w:rPr>
        <w:t xml:space="preserve"> og reglurnar um skuldbindingar millum feløgini í samtøkuni</w:t>
      </w:r>
      <w:r w:rsidRPr="007501DE">
        <w:rPr>
          <w:rFonts w:cs="Times New Roman"/>
          <w:szCs w:val="24"/>
        </w:rPr>
        <w:t>. Hesar reglurnar í tryggingarlógini verða ikki galdandi fyri OT</w:t>
      </w:r>
      <w:r w:rsidR="008302A0">
        <w:rPr>
          <w:rFonts w:cs="Times New Roman"/>
          <w:szCs w:val="24"/>
        </w:rPr>
        <w:t>, sbr. tó</w:t>
      </w:r>
      <w:r w:rsidR="00176B86">
        <w:rPr>
          <w:rFonts w:cs="Times New Roman"/>
          <w:szCs w:val="24"/>
        </w:rPr>
        <w:t xml:space="preserve"> </w:t>
      </w:r>
      <w:r w:rsidR="008302A0">
        <w:rPr>
          <w:rFonts w:cs="Times New Roman"/>
          <w:szCs w:val="24"/>
        </w:rPr>
        <w:t xml:space="preserve">pkt. 1.5.1 </w:t>
      </w:r>
      <w:r w:rsidR="00176B86">
        <w:rPr>
          <w:rFonts w:cs="Times New Roman"/>
          <w:szCs w:val="24"/>
        </w:rPr>
        <w:t>um</w:t>
      </w:r>
      <w:r w:rsidR="00176B86" w:rsidRPr="00176B86">
        <w:t xml:space="preserve"> </w:t>
      </w:r>
      <w:r w:rsidR="00176B86" w:rsidRPr="00176B86">
        <w:rPr>
          <w:rFonts w:cs="Times New Roman"/>
          <w:szCs w:val="24"/>
        </w:rPr>
        <w:t>kapitalflytingar millum OT og aðrar fyritøkur í samtøkuni.</w:t>
      </w:r>
    </w:p>
    <w:p w:rsidR="007501DE" w:rsidRDefault="007501DE" w:rsidP="009B33BC">
      <w:pPr>
        <w:spacing w:after="0"/>
        <w:rPr>
          <w:rFonts w:cs="Times New Roman"/>
          <w:szCs w:val="24"/>
        </w:rPr>
      </w:pPr>
    </w:p>
    <w:p w:rsidR="00DE4574" w:rsidRDefault="00BB2D52" w:rsidP="00D11EB5">
      <w:pPr>
        <w:spacing w:after="0"/>
        <w:rPr>
          <w:rFonts w:cs="Times New Roman"/>
          <w:b/>
          <w:szCs w:val="24"/>
        </w:rPr>
      </w:pPr>
      <w:r>
        <w:rPr>
          <w:rFonts w:cs="Times New Roman"/>
          <w:b/>
          <w:szCs w:val="24"/>
        </w:rPr>
        <w:t>1.</w:t>
      </w:r>
      <w:r w:rsidR="00ED0A64">
        <w:rPr>
          <w:rFonts w:cs="Times New Roman"/>
          <w:b/>
          <w:szCs w:val="24"/>
        </w:rPr>
        <w:t>5</w:t>
      </w:r>
      <w:r w:rsidR="006654E6" w:rsidRPr="006654E6">
        <w:rPr>
          <w:rFonts w:cs="Times New Roman"/>
          <w:b/>
          <w:szCs w:val="24"/>
        </w:rPr>
        <w:t>.</w:t>
      </w:r>
      <w:r>
        <w:rPr>
          <w:rFonts w:cs="Times New Roman"/>
          <w:b/>
          <w:szCs w:val="24"/>
        </w:rPr>
        <w:t>3</w:t>
      </w:r>
      <w:r w:rsidR="006654E6" w:rsidRPr="006654E6">
        <w:rPr>
          <w:rFonts w:cs="Times New Roman"/>
          <w:b/>
          <w:szCs w:val="24"/>
        </w:rPr>
        <w:t xml:space="preserve">. </w:t>
      </w:r>
      <w:r w:rsidR="00DE4574" w:rsidRPr="006654E6">
        <w:rPr>
          <w:rFonts w:cs="Times New Roman"/>
          <w:b/>
          <w:szCs w:val="24"/>
        </w:rPr>
        <w:t>Førleikakrøv til leiðsluna</w:t>
      </w:r>
    </w:p>
    <w:p w:rsidR="00775626" w:rsidRDefault="00775626" w:rsidP="00D11EB5">
      <w:pPr>
        <w:spacing w:after="0"/>
        <w:rPr>
          <w:rFonts w:cs="Times New Roman"/>
          <w:szCs w:val="24"/>
        </w:rPr>
      </w:pPr>
    </w:p>
    <w:p w:rsidR="00775F2B" w:rsidRDefault="00D11EB5" w:rsidP="00D11EB5">
      <w:pPr>
        <w:spacing w:after="0"/>
        <w:rPr>
          <w:rFonts w:cs="Times New Roman"/>
          <w:szCs w:val="24"/>
        </w:rPr>
      </w:pPr>
      <w:r w:rsidRPr="00D11EB5">
        <w:rPr>
          <w:rFonts w:cs="Times New Roman"/>
          <w:szCs w:val="24"/>
        </w:rPr>
        <w:t xml:space="preserve">Í fíggjarligu lóggávuni verða sett krøv til leiðsluna í teimum fíggjarligu fyritøkunum. Tað verða sett bæði individuel og kollektiv krøv. </w:t>
      </w:r>
    </w:p>
    <w:p w:rsidR="00775F2B" w:rsidRDefault="00775F2B" w:rsidP="00D11EB5">
      <w:pPr>
        <w:spacing w:after="0"/>
        <w:rPr>
          <w:rFonts w:cs="Times New Roman"/>
          <w:szCs w:val="24"/>
        </w:rPr>
      </w:pPr>
    </w:p>
    <w:p w:rsidR="007D3481" w:rsidRPr="007D3481" w:rsidRDefault="007D3481" w:rsidP="00D11EB5">
      <w:pPr>
        <w:spacing w:after="0"/>
        <w:rPr>
          <w:rFonts w:cs="Times New Roman"/>
          <w:i/>
          <w:szCs w:val="24"/>
        </w:rPr>
      </w:pPr>
      <w:r w:rsidRPr="007D3481">
        <w:rPr>
          <w:rFonts w:cs="Times New Roman"/>
          <w:i/>
          <w:szCs w:val="24"/>
        </w:rPr>
        <w:t xml:space="preserve">Krøv til </w:t>
      </w:r>
      <w:r w:rsidR="00153B34">
        <w:rPr>
          <w:rFonts w:cs="Times New Roman"/>
          <w:i/>
          <w:szCs w:val="24"/>
        </w:rPr>
        <w:t xml:space="preserve">førleikar </w:t>
      </w:r>
      <w:r w:rsidR="008302A0">
        <w:rPr>
          <w:rFonts w:cs="Times New Roman"/>
          <w:i/>
          <w:szCs w:val="24"/>
        </w:rPr>
        <w:t xml:space="preserve">hjá </w:t>
      </w:r>
      <w:r w:rsidRPr="007D3481">
        <w:rPr>
          <w:rFonts w:cs="Times New Roman"/>
          <w:i/>
          <w:szCs w:val="24"/>
        </w:rPr>
        <w:t>einstaka nevndar- ella stjórnarlimi</w:t>
      </w:r>
      <w:r>
        <w:rPr>
          <w:rFonts w:cs="Times New Roman"/>
          <w:i/>
          <w:szCs w:val="24"/>
        </w:rPr>
        <w:t xml:space="preserve"> </w:t>
      </w:r>
    </w:p>
    <w:p w:rsidR="00153B34" w:rsidRDefault="00153B34" w:rsidP="00D11EB5">
      <w:pPr>
        <w:spacing w:after="0"/>
        <w:rPr>
          <w:rFonts w:cs="Times New Roman"/>
          <w:szCs w:val="24"/>
        </w:rPr>
      </w:pPr>
    </w:p>
    <w:p w:rsidR="00D11EB5" w:rsidRPr="00D11EB5" w:rsidRDefault="00D11EB5" w:rsidP="00D11EB5">
      <w:pPr>
        <w:spacing w:after="0"/>
        <w:rPr>
          <w:rFonts w:cs="Times New Roman"/>
          <w:szCs w:val="24"/>
        </w:rPr>
      </w:pPr>
      <w:r w:rsidRPr="00D11EB5">
        <w:rPr>
          <w:rFonts w:cs="Times New Roman"/>
          <w:szCs w:val="24"/>
        </w:rPr>
        <w:t>Individuell</w:t>
      </w:r>
      <w:r w:rsidR="00400256">
        <w:rPr>
          <w:rFonts w:cs="Times New Roman"/>
          <w:szCs w:val="24"/>
        </w:rPr>
        <w:t>u</w:t>
      </w:r>
      <w:r w:rsidRPr="00D11EB5">
        <w:rPr>
          <w:rFonts w:cs="Times New Roman"/>
          <w:szCs w:val="24"/>
        </w:rPr>
        <w:t xml:space="preserve"> krøvini (fit&amp;proper) er</w:t>
      </w:r>
      <w:r w:rsidR="003C6A61">
        <w:rPr>
          <w:rFonts w:cs="Times New Roman"/>
          <w:szCs w:val="24"/>
        </w:rPr>
        <w:t>u</w:t>
      </w:r>
      <w:r w:rsidRPr="00D11EB5">
        <w:rPr>
          <w:rFonts w:cs="Times New Roman"/>
          <w:szCs w:val="24"/>
        </w:rPr>
        <w:t xml:space="preserve"> ásett í § 49 í </w:t>
      </w:r>
      <w:r w:rsidR="008302A0">
        <w:rPr>
          <w:rFonts w:cs="Times New Roman"/>
          <w:szCs w:val="24"/>
        </w:rPr>
        <w:t>tryggingarlógini, t.e.</w:t>
      </w:r>
      <w:r w:rsidR="0075025A">
        <w:rPr>
          <w:rFonts w:cs="Times New Roman"/>
          <w:szCs w:val="24"/>
        </w:rPr>
        <w:t xml:space="preserve"> </w:t>
      </w:r>
      <w:r w:rsidRPr="00D11EB5">
        <w:rPr>
          <w:rFonts w:cs="Times New Roman"/>
          <w:szCs w:val="24"/>
        </w:rPr>
        <w:t xml:space="preserve">um heiðursemi </w:t>
      </w:r>
      <w:r>
        <w:rPr>
          <w:rFonts w:cs="Times New Roman"/>
          <w:szCs w:val="24"/>
        </w:rPr>
        <w:t xml:space="preserve">og </w:t>
      </w:r>
      <w:r w:rsidRPr="00D11EB5">
        <w:rPr>
          <w:rFonts w:cs="Times New Roman"/>
          <w:szCs w:val="24"/>
        </w:rPr>
        <w:t>førleikar hjá nevndarlimum og stjórum.</w:t>
      </w:r>
    </w:p>
    <w:p w:rsidR="00775F2B" w:rsidRDefault="00775F2B" w:rsidP="005F7961">
      <w:pPr>
        <w:spacing w:after="0"/>
        <w:rPr>
          <w:rFonts w:cs="Times New Roman"/>
          <w:szCs w:val="24"/>
        </w:rPr>
      </w:pPr>
    </w:p>
    <w:p w:rsidR="00775F2B" w:rsidRDefault="00775F2B" w:rsidP="005F7961">
      <w:pPr>
        <w:spacing w:after="0"/>
        <w:rPr>
          <w:rFonts w:cs="Times New Roman"/>
          <w:szCs w:val="24"/>
        </w:rPr>
      </w:pPr>
      <w:r w:rsidRPr="00775F2B">
        <w:rPr>
          <w:rFonts w:cs="Times New Roman"/>
          <w:szCs w:val="24"/>
        </w:rPr>
        <w:t>Ein limur í nevndini ella stjórnini í einum tryggingarfelag skal hava nøktandi royndir til at røkja starvið ella uppgávuna í viðkomandi felagi.</w:t>
      </w:r>
      <w:r>
        <w:rPr>
          <w:rFonts w:cs="Times New Roman"/>
          <w:szCs w:val="24"/>
        </w:rPr>
        <w:t xml:space="preserve"> Ne</w:t>
      </w:r>
      <w:r w:rsidR="001229F7">
        <w:rPr>
          <w:rFonts w:cs="Times New Roman"/>
          <w:szCs w:val="24"/>
        </w:rPr>
        <w:t>v</w:t>
      </w:r>
      <w:r>
        <w:rPr>
          <w:rFonts w:cs="Times New Roman"/>
          <w:szCs w:val="24"/>
        </w:rPr>
        <w:t>n</w:t>
      </w:r>
      <w:r w:rsidR="001229F7">
        <w:rPr>
          <w:rFonts w:cs="Times New Roman"/>
          <w:szCs w:val="24"/>
        </w:rPr>
        <w:t>d</w:t>
      </w:r>
      <w:r>
        <w:rPr>
          <w:rFonts w:cs="Times New Roman"/>
          <w:szCs w:val="24"/>
        </w:rPr>
        <w:t>ar- ella stjó</w:t>
      </w:r>
      <w:r w:rsidR="008302A0">
        <w:rPr>
          <w:rFonts w:cs="Times New Roman"/>
          <w:szCs w:val="24"/>
        </w:rPr>
        <w:t>r</w:t>
      </w:r>
      <w:r>
        <w:rPr>
          <w:rFonts w:cs="Times New Roman"/>
          <w:szCs w:val="24"/>
        </w:rPr>
        <w:t>narlimur</w:t>
      </w:r>
      <w:r w:rsidR="0092590F" w:rsidRPr="0092590F">
        <w:rPr>
          <w:rFonts w:cs="Times New Roman"/>
          <w:szCs w:val="24"/>
        </w:rPr>
        <w:t xml:space="preserve"> </w:t>
      </w:r>
      <w:r w:rsidR="008302A0">
        <w:rPr>
          <w:rFonts w:cs="Times New Roman"/>
          <w:szCs w:val="24"/>
        </w:rPr>
        <w:t>skulu</w:t>
      </w:r>
      <w:r w:rsidR="001229F7">
        <w:rPr>
          <w:rFonts w:cs="Times New Roman"/>
          <w:szCs w:val="24"/>
        </w:rPr>
        <w:t xml:space="preserve"> </w:t>
      </w:r>
      <w:r w:rsidR="0092590F" w:rsidRPr="0092590F">
        <w:rPr>
          <w:rFonts w:cs="Times New Roman"/>
          <w:szCs w:val="24"/>
        </w:rPr>
        <w:t>hava tað neyðuga heiðursemi</w:t>
      </w:r>
      <w:r w:rsidR="008302A0">
        <w:rPr>
          <w:rFonts w:cs="Times New Roman"/>
          <w:szCs w:val="24"/>
        </w:rPr>
        <w:t>ð</w:t>
      </w:r>
      <w:r w:rsidR="0092590F" w:rsidRPr="0092590F">
        <w:rPr>
          <w:rFonts w:cs="Times New Roman"/>
          <w:szCs w:val="24"/>
        </w:rPr>
        <w:t xml:space="preserve"> til at røkja viðkomandi uppgávu ella starv</w:t>
      </w:r>
      <w:r w:rsidR="0092590F">
        <w:rPr>
          <w:rFonts w:cs="Times New Roman"/>
          <w:szCs w:val="24"/>
        </w:rPr>
        <w:t xml:space="preserve">, og </w:t>
      </w:r>
      <w:r w:rsidR="008302A0">
        <w:rPr>
          <w:rFonts w:cs="Times New Roman"/>
          <w:szCs w:val="24"/>
        </w:rPr>
        <w:t>skulu</w:t>
      </w:r>
      <w:r w:rsidR="0092590F">
        <w:rPr>
          <w:rFonts w:cs="Times New Roman"/>
          <w:szCs w:val="24"/>
        </w:rPr>
        <w:t xml:space="preserve"> hava gott umdømi</w:t>
      </w:r>
      <w:r>
        <w:rPr>
          <w:rFonts w:cs="Times New Roman"/>
          <w:szCs w:val="24"/>
        </w:rPr>
        <w:t xml:space="preserve">, </w:t>
      </w:r>
      <w:r w:rsidR="0092590F">
        <w:rPr>
          <w:rFonts w:cs="Times New Roman"/>
          <w:szCs w:val="24"/>
        </w:rPr>
        <w:lastRenderedPageBreak/>
        <w:t xml:space="preserve">integritet og </w:t>
      </w:r>
      <w:r>
        <w:rPr>
          <w:rFonts w:cs="Times New Roman"/>
          <w:szCs w:val="24"/>
        </w:rPr>
        <w:t xml:space="preserve">óheftni </w:t>
      </w:r>
      <w:r w:rsidRPr="00775F2B">
        <w:rPr>
          <w:rFonts w:cs="Times New Roman"/>
          <w:szCs w:val="24"/>
        </w:rPr>
        <w:t>fyri effektivt at kunna meta um og finnast at avgerðum, tiknar av dagligu leiðsluni</w:t>
      </w:r>
      <w:r w:rsidR="00400256">
        <w:rPr>
          <w:rFonts w:cs="Times New Roman"/>
          <w:szCs w:val="24"/>
        </w:rPr>
        <w:t>.</w:t>
      </w:r>
    </w:p>
    <w:p w:rsidR="00775F2B" w:rsidRDefault="00775F2B" w:rsidP="005F7961">
      <w:pPr>
        <w:spacing w:after="0"/>
        <w:rPr>
          <w:rFonts w:cs="Times New Roman"/>
          <w:szCs w:val="24"/>
        </w:rPr>
      </w:pPr>
    </w:p>
    <w:p w:rsidR="001229F7" w:rsidRDefault="001229F7" w:rsidP="001229F7">
      <w:pPr>
        <w:rPr>
          <w:rFonts w:cs="Times New Roman"/>
          <w:szCs w:val="24"/>
        </w:rPr>
      </w:pPr>
      <w:r>
        <w:rPr>
          <w:rFonts w:cs="Times New Roman"/>
          <w:szCs w:val="24"/>
        </w:rPr>
        <w:t xml:space="preserve">Í metingini av hvørt nevndar- ella stjórnarlimur er </w:t>
      </w:r>
      <w:r w:rsidR="008302A0">
        <w:rPr>
          <w:rFonts w:cs="Times New Roman"/>
          <w:szCs w:val="24"/>
        </w:rPr>
        <w:t>skikkaður</w:t>
      </w:r>
      <w:r>
        <w:rPr>
          <w:rFonts w:cs="Times New Roman"/>
          <w:szCs w:val="24"/>
        </w:rPr>
        <w:t xml:space="preserve">, skal </w:t>
      </w:r>
      <w:r w:rsidRPr="001229F7">
        <w:rPr>
          <w:rFonts w:cs="Times New Roman"/>
          <w:szCs w:val="24"/>
        </w:rPr>
        <w:t>dentur leggjast á atlit</w:t>
      </w:r>
      <w:r>
        <w:rPr>
          <w:rFonts w:cs="Times New Roman"/>
          <w:szCs w:val="24"/>
        </w:rPr>
        <w:t xml:space="preserve"> til </w:t>
      </w:r>
      <w:r w:rsidR="008302A0">
        <w:rPr>
          <w:rFonts w:cs="Times New Roman"/>
          <w:szCs w:val="24"/>
        </w:rPr>
        <w:t xml:space="preserve"> álitið á tryggingargeiran</w:t>
      </w:r>
      <w:r w:rsidR="007D3481">
        <w:rPr>
          <w:rFonts w:cs="Times New Roman"/>
          <w:szCs w:val="24"/>
        </w:rPr>
        <w:t>.</w:t>
      </w:r>
    </w:p>
    <w:p w:rsidR="007D3481" w:rsidRPr="001229F7" w:rsidRDefault="007D3481" w:rsidP="001229F7">
      <w:pPr>
        <w:rPr>
          <w:rFonts w:cs="Times New Roman"/>
          <w:szCs w:val="24"/>
        </w:rPr>
      </w:pPr>
      <w:r w:rsidRPr="007D3481">
        <w:rPr>
          <w:rFonts w:cs="Times New Roman"/>
          <w:szCs w:val="24"/>
        </w:rPr>
        <w:t>Eftir individuellu krøvunum verður ikki sett krav um, at ein nevndarlimur hevur serligt innlit í viðurskiftini hjá tryggingarfeløgum. Í slíkum førum kann serligt innlit í eina aðra vinnugrein ella í lokal viðurskifti, sum eru viðkomandi fyri tryggingarfelagið, vera nóg mikið</w:t>
      </w:r>
      <w:r w:rsidR="00400256">
        <w:rPr>
          <w:rFonts w:cs="Times New Roman"/>
          <w:szCs w:val="24"/>
        </w:rPr>
        <w:t>.</w:t>
      </w:r>
    </w:p>
    <w:p w:rsidR="00153B34" w:rsidRPr="00153B34" w:rsidRDefault="00153B34" w:rsidP="007D3481">
      <w:pPr>
        <w:spacing w:after="0"/>
        <w:rPr>
          <w:rFonts w:cs="Times New Roman"/>
          <w:i/>
          <w:szCs w:val="24"/>
        </w:rPr>
      </w:pPr>
      <w:r w:rsidRPr="00153B34">
        <w:rPr>
          <w:rFonts w:cs="Times New Roman"/>
          <w:i/>
          <w:szCs w:val="24"/>
        </w:rPr>
        <w:t>Krøv til førleikar í samlaðu nevndini</w:t>
      </w:r>
    </w:p>
    <w:p w:rsidR="00153B34" w:rsidRDefault="00153B34" w:rsidP="007D3481">
      <w:pPr>
        <w:spacing w:after="0"/>
        <w:rPr>
          <w:rFonts w:cs="Times New Roman"/>
          <w:szCs w:val="24"/>
        </w:rPr>
      </w:pPr>
    </w:p>
    <w:p w:rsidR="007D3481" w:rsidRDefault="007D3481" w:rsidP="007D3481">
      <w:pPr>
        <w:spacing w:after="0"/>
        <w:rPr>
          <w:rFonts w:cs="Times New Roman"/>
          <w:szCs w:val="24"/>
        </w:rPr>
      </w:pPr>
      <w:r w:rsidRPr="007D3481">
        <w:rPr>
          <w:rFonts w:cs="Times New Roman"/>
          <w:szCs w:val="24"/>
        </w:rPr>
        <w:t>Høvuðsuppgávan hjá nevndini er at áseta teir yvirskipaðu og strategisku karmarnar fyri felagið og tess virksemi, sbr</w:t>
      </w:r>
      <w:r w:rsidR="00925A7E">
        <w:rPr>
          <w:rFonts w:cs="Times New Roman"/>
          <w:szCs w:val="24"/>
        </w:rPr>
        <w:t>t</w:t>
      </w:r>
      <w:r w:rsidRPr="007D3481">
        <w:rPr>
          <w:rFonts w:cs="Times New Roman"/>
          <w:szCs w:val="24"/>
        </w:rPr>
        <w:t xml:space="preserve">. § 115 í vinnufelagslógini. </w:t>
      </w:r>
      <w:r>
        <w:rPr>
          <w:rFonts w:cs="Times New Roman"/>
          <w:szCs w:val="24"/>
        </w:rPr>
        <w:t>Upp</w:t>
      </w:r>
      <w:r w:rsidR="00400256">
        <w:rPr>
          <w:rFonts w:cs="Times New Roman"/>
          <w:szCs w:val="24"/>
        </w:rPr>
        <w:t>g</w:t>
      </w:r>
      <w:r>
        <w:rPr>
          <w:rFonts w:cs="Times New Roman"/>
          <w:szCs w:val="24"/>
        </w:rPr>
        <w:t xml:space="preserve">ávurnar hjá nevndini eru eisini ásettar í § 55 í </w:t>
      </w:r>
      <w:r w:rsidR="007F30AD">
        <w:rPr>
          <w:rFonts w:cs="Times New Roman"/>
          <w:szCs w:val="24"/>
        </w:rPr>
        <w:t>tryggingarlógini</w:t>
      </w:r>
      <w:r>
        <w:rPr>
          <w:rFonts w:cs="Times New Roman"/>
          <w:szCs w:val="24"/>
        </w:rPr>
        <w:t xml:space="preserve">, og er m.a. ásett, at </w:t>
      </w:r>
      <w:r w:rsidRPr="007D3481">
        <w:rPr>
          <w:rFonts w:cs="Times New Roman"/>
          <w:szCs w:val="24"/>
        </w:rPr>
        <w:t>nev</w:t>
      </w:r>
      <w:r w:rsidR="007F30AD">
        <w:rPr>
          <w:rFonts w:cs="Times New Roman"/>
          <w:szCs w:val="24"/>
        </w:rPr>
        <w:t>ndin skal taka avgerð um virkis</w:t>
      </w:r>
      <w:r w:rsidRPr="007D3481">
        <w:rPr>
          <w:rFonts w:cs="Times New Roman"/>
          <w:szCs w:val="24"/>
        </w:rPr>
        <w:t>modellið hjá felagnum, harundir meta um váðaprofil og kapitalgrundarlagið hjá felag</w:t>
      </w:r>
      <w:r w:rsidR="007F30AD">
        <w:rPr>
          <w:rFonts w:cs="Times New Roman"/>
          <w:szCs w:val="24"/>
        </w:rPr>
        <w:t>n</w:t>
      </w:r>
      <w:r w:rsidRPr="007D3481">
        <w:rPr>
          <w:rFonts w:cs="Times New Roman"/>
          <w:szCs w:val="24"/>
        </w:rPr>
        <w:t>um. Við støði í hesum skal nevndin áseta viðkomandi politikkir á øllum týðandi økjum og áseta skrivligar leiðreglur fyri arbeiðið hjá stjórnini</w:t>
      </w:r>
      <w:r w:rsidR="00153B34">
        <w:rPr>
          <w:rFonts w:cs="Times New Roman"/>
          <w:szCs w:val="24"/>
        </w:rPr>
        <w:t>.</w:t>
      </w:r>
    </w:p>
    <w:p w:rsidR="007D3481" w:rsidRDefault="007D3481" w:rsidP="007D3481">
      <w:pPr>
        <w:spacing w:after="0"/>
        <w:rPr>
          <w:rFonts w:cs="Times New Roman"/>
          <w:szCs w:val="24"/>
        </w:rPr>
      </w:pPr>
    </w:p>
    <w:p w:rsidR="003814D6" w:rsidRDefault="00153B34" w:rsidP="007D3481">
      <w:pPr>
        <w:spacing w:after="0"/>
        <w:rPr>
          <w:rFonts w:cs="Times New Roman"/>
          <w:szCs w:val="24"/>
        </w:rPr>
      </w:pPr>
      <w:r w:rsidRPr="00153B34">
        <w:rPr>
          <w:rFonts w:cs="Times New Roman"/>
          <w:szCs w:val="24"/>
        </w:rPr>
        <w:t xml:space="preserve">Krøv til </w:t>
      </w:r>
      <w:r>
        <w:rPr>
          <w:rFonts w:cs="Times New Roman"/>
          <w:szCs w:val="24"/>
        </w:rPr>
        <w:t xml:space="preserve">førleikar í samlaðu </w:t>
      </w:r>
      <w:r w:rsidRPr="00153B34">
        <w:rPr>
          <w:rFonts w:cs="Times New Roman"/>
          <w:szCs w:val="24"/>
        </w:rPr>
        <w:t>nevndin</w:t>
      </w:r>
      <w:r>
        <w:rPr>
          <w:rFonts w:cs="Times New Roman"/>
          <w:szCs w:val="24"/>
        </w:rPr>
        <w:t xml:space="preserve">i </w:t>
      </w:r>
      <w:r w:rsidRPr="00153B34">
        <w:rPr>
          <w:rFonts w:cs="Times New Roman"/>
          <w:szCs w:val="24"/>
        </w:rPr>
        <w:t>í tryggingarfeløgum</w:t>
      </w:r>
      <w:r>
        <w:rPr>
          <w:rFonts w:cs="Times New Roman"/>
          <w:szCs w:val="24"/>
        </w:rPr>
        <w:t xml:space="preserve"> </w:t>
      </w:r>
      <w:r w:rsidRPr="00153B34">
        <w:rPr>
          <w:rFonts w:cs="Times New Roman"/>
          <w:szCs w:val="24"/>
        </w:rPr>
        <w:t xml:space="preserve">eru ásett í kunngerð </w:t>
      </w:r>
      <w:r w:rsidR="003814D6">
        <w:rPr>
          <w:rFonts w:cs="Times New Roman"/>
          <w:szCs w:val="24"/>
        </w:rPr>
        <w:t xml:space="preserve">frá Tryggingareftirlitinum </w:t>
      </w:r>
      <w:r w:rsidRPr="00153B34">
        <w:rPr>
          <w:rFonts w:cs="Times New Roman"/>
          <w:szCs w:val="24"/>
        </w:rPr>
        <w:t>um leiðslu og stýring av tryggingarfeløgum og eftirlønargrunnum (leiðslukunngerðin).</w:t>
      </w:r>
      <w:r w:rsidR="003814D6">
        <w:rPr>
          <w:rFonts w:cs="Times New Roman"/>
          <w:szCs w:val="24"/>
        </w:rPr>
        <w:t xml:space="preserve"> </w:t>
      </w:r>
      <w:r w:rsidR="003814D6" w:rsidRPr="003814D6">
        <w:rPr>
          <w:rFonts w:cs="Times New Roman"/>
          <w:szCs w:val="24"/>
        </w:rPr>
        <w:t xml:space="preserve">Nevndin í </w:t>
      </w:r>
      <w:r w:rsidR="003814D6">
        <w:rPr>
          <w:rFonts w:cs="Times New Roman"/>
          <w:szCs w:val="24"/>
        </w:rPr>
        <w:t>tryggingar</w:t>
      </w:r>
      <w:r w:rsidR="003814D6" w:rsidRPr="003814D6">
        <w:rPr>
          <w:rFonts w:cs="Times New Roman"/>
          <w:szCs w:val="24"/>
        </w:rPr>
        <w:t>felagnum skal tryggja, at nevndarlimirnir hava nóg stóra kollektiva vitan, fakligar førleikar og royndir til at kunna skilja virksemi felagsins og tann váða, sum er tengdur at hesum.</w:t>
      </w:r>
    </w:p>
    <w:p w:rsidR="003814D6" w:rsidRDefault="003814D6" w:rsidP="007D3481">
      <w:pPr>
        <w:spacing w:after="0"/>
        <w:rPr>
          <w:rFonts w:cs="Times New Roman"/>
          <w:szCs w:val="24"/>
        </w:rPr>
      </w:pPr>
    </w:p>
    <w:p w:rsidR="003814D6" w:rsidRDefault="003814D6" w:rsidP="007D3481">
      <w:pPr>
        <w:spacing w:after="0"/>
      </w:pPr>
      <w:r>
        <w:t xml:space="preserve">Krøvini eru galdandi fyri rakstrarfeløgini Betri Trygging og Betri Pensjón, men tey eru ikki galdandi </w:t>
      </w:r>
      <w:r w:rsidR="003C6A61">
        <w:t xml:space="preserve">á samtøkustigi </w:t>
      </w:r>
      <w:r>
        <w:t>fyri Betri P/F og OT.</w:t>
      </w:r>
    </w:p>
    <w:p w:rsidR="00DF4644" w:rsidRDefault="00DF4644" w:rsidP="00DF4644">
      <w:pPr>
        <w:spacing w:after="0"/>
      </w:pPr>
    </w:p>
    <w:p w:rsidR="00801913" w:rsidRDefault="005A0F86" w:rsidP="00DF4644">
      <w:pPr>
        <w:spacing w:after="0"/>
      </w:pPr>
      <w:r>
        <w:t>Í uppsk</w:t>
      </w:r>
      <w:r w:rsidR="00277BB8">
        <w:t>o</w:t>
      </w:r>
      <w:r>
        <w:t xml:space="preserve">tinum </w:t>
      </w:r>
      <w:r w:rsidR="00277BB8">
        <w:t xml:space="preserve">til løgtingslóg um broyting í </w:t>
      </w:r>
      <w:r w:rsidR="007F30AD">
        <w:t>tryggingarlógini</w:t>
      </w:r>
      <w:r w:rsidR="0075025A">
        <w:t xml:space="preserve"> </w:t>
      </w:r>
      <w:r w:rsidR="00277BB8">
        <w:t>eru ásetingar um yvirskipaðu og strategisku up</w:t>
      </w:r>
      <w:r w:rsidR="00400256">
        <w:t>p</w:t>
      </w:r>
      <w:r w:rsidR="00277BB8">
        <w:t xml:space="preserve">gávurnar hjá nevndini </w:t>
      </w:r>
      <w:r w:rsidR="003C6A61">
        <w:t xml:space="preserve">í rakstrarfeløgunum og </w:t>
      </w:r>
      <w:r w:rsidR="00277BB8">
        <w:t xml:space="preserve">á samtøkustigi. Tær fevna um, at nevndin leypandi skal taka støðu til </w:t>
      </w:r>
      <w:r w:rsidR="007F30AD">
        <w:t>virkis</w:t>
      </w:r>
      <w:r w:rsidR="00277BB8" w:rsidRPr="00277BB8">
        <w:t>modellið hjá felagnum, harundir meta um váðaprofil og kapitalgrundarlagið hjá felagum</w:t>
      </w:r>
      <w:r w:rsidR="00277BB8">
        <w:t xml:space="preserve">. </w:t>
      </w:r>
    </w:p>
    <w:p w:rsidR="00801913" w:rsidRDefault="00801913" w:rsidP="00DF4644">
      <w:pPr>
        <w:spacing w:after="0"/>
      </w:pPr>
    </w:p>
    <w:p w:rsidR="00277BB8" w:rsidRDefault="00277BB8" w:rsidP="00DF4644">
      <w:pPr>
        <w:spacing w:after="0"/>
      </w:pPr>
      <w:r>
        <w:t>Eftir uppskotinum skal n</w:t>
      </w:r>
      <w:r w:rsidRPr="00277BB8">
        <w:t xml:space="preserve">evndin </w:t>
      </w:r>
      <w:r>
        <w:t xml:space="preserve"> tryggja</w:t>
      </w:r>
      <w:r w:rsidR="003C6A61">
        <w:t xml:space="preserve">, </w:t>
      </w:r>
      <w:r w:rsidRPr="00277BB8">
        <w:t>at nevndarlimirnir hava nóg stóra kollektiva vitan, fakligar førleikar og royndir til at kunna skilja virksemi felagsins og tann váða, sum er tengdur at hesum.</w:t>
      </w:r>
      <w:r w:rsidR="003C6A61" w:rsidRPr="003C6A61">
        <w:t xml:space="preserve"> Hesar reglur fevna um </w:t>
      </w:r>
      <w:r w:rsidR="00DE5673">
        <w:t xml:space="preserve">rakstrarfeløgini </w:t>
      </w:r>
      <w:r w:rsidR="003C6A61" w:rsidRPr="003C6A61">
        <w:t>Betri Trygging og Betri Pensjón</w:t>
      </w:r>
      <w:r w:rsidR="00DE5673">
        <w:t xml:space="preserve"> og </w:t>
      </w:r>
      <w:r w:rsidR="00D97974">
        <w:t xml:space="preserve">verða </w:t>
      </w:r>
      <w:r w:rsidR="00DE5673">
        <w:t xml:space="preserve">á samtøkustigi galdandi fyri </w:t>
      </w:r>
      <w:r w:rsidR="00D97974">
        <w:t xml:space="preserve">nýggja tryggingarhaldfelagsskapin í </w:t>
      </w:r>
      <w:r w:rsidR="00DE5673">
        <w:t xml:space="preserve">Betri </w:t>
      </w:r>
      <w:r w:rsidR="000C31D1">
        <w:t>samtøkuni</w:t>
      </w:r>
      <w:r w:rsidR="00DE5673">
        <w:t xml:space="preserve">, men </w:t>
      </w:r>
      <w:r w:rsidR="000C31D1">
        <w:t xml:space="preserve">verða </w:t>
      </w:r>
      <w:r w:rsidR="00DE5673">
        <w:t xml:space="preserve">ikki galdandi ikki fyri </w:t>
      </w:r>
      <w:r w:rsidR="003C6A61" w:rsidRPr="003C6A61">
        <w:t>OT</w:t>
      </w:r>
      <w:r w:rsidR="00D97974">
        <w:t xml:space="preserve"> ella nýggja peningastovnshaldfelagsskapin</w:t>
      </w:r>
      <w:r w:rsidR="003C6A61" w:rsidRPr="003C6A61">
        <w:t>.</w:t>
      </w:r>
    </w:p>
    <w:p w:rsidR="00277BB8" w:rsidRDefault="00277BB8" w:rsidP="00DF4644">
      <w:pPr>
        <w:spacing w:after="0"/>
      </w:pPr>
    </w:p>
    <w:p w:rsidR="00343C12" w:rsidRDefault="00DE5673" w:rsidP="00DF4644">
      <w:pPr>
        <w:spacing w:after="0"/>
      </w:pPr>
      <w:r>
        <w:t>OT er evsta móðurf</w:t>
      </w:r>
      <w:r w:rsidR="00343C12">
        <w:t>y</w:t>
      </w:r>
      <w:r>
        <w:t>ritøkan í eini samtøku, sum bæði rekur trygginarvirksemi og peningast</w:t>
      </w:r>
      <w:r w:rsidR="000C31D1">
        <w:t>o</w:t>
      </w:r>
      <w:r>
        <w:t>vnsvirksemi. Mett verður tí, at stóri samfelagsligi týd</w:t>
      </w:r>
      <w:r w:rsidR="00F967E0">
        <w:t>n</w:t>
      </w:r>
      <w:r>
        <w:t>ingurin, sum Betri samtakið hevur, ger, at tørvur er á, at seta líkn</w:t>
      </w:r>
      <w:r w:rsidR="007F30AD">
        <w:t>andi krøv um førleikar í samlaðu</w:t>
      </w:r>
      <w:r>
        <w:t xml:space="preserve"> nevndini, sum sett verða </w:t>
      </w:r>
      <w:r w:rsidR="00343C12">
        <w:t xml:space="preserve">haldfyritøkum og tryggingarhaldfyritøkum í </w:t>
      </w:r>
      <w:r w:rsidR="007F30AD">
        <w:t>uppskotinnum til broyting í tryggingarlógini</w:t>
      </w:r>
      <w:r w:rsidR="00343C12">
        <w:t>.</w:t>
      </w:r>
      <w:r w:rsidR="00801913" w:rsidRPr="00801913">
        <w:t xml:space="preserve"> Tí verður hetta kravið við hesi broyting sett inn í vinnufyritøkulógina.</w:t>
      </w:r>
    </w:p>
    <w:p w:rsidR="009D5988" w:rsidRDefault="009D5988" w:rsidP="00DF4644">
      <w:pPr>
        <w:spacing w:after="0"/>
      </w:pPr>
    </w:p>
    <w:p w:rsidR="00DE4574" w:rsidRPr="00775626" w:rsidRDefault="00BB2D52" w:rsidP="00775626">
      <w:pPr>
        <w:spacing w:after="0"/>
        <w:rPr>
          <w:rFonts w:cs="Times New Roman"/>
          <w:b/>
          <w:szCs w:val="24"/>
        </w:rPr>
      </w:pPr>
      <w:r>
        <w:rPr>
          <w:rFonts w:cs="Times New Roman"/>
          <w:b/>
          <w:szCs w:val="24"/>
        </w:rPr>
        <w:t>1.</w:t>
      </w:r>
      <w:r w:rsidR="00ED0A64">
        <w:rPr>
          <w:rFonts w:cs="Times New Roman"/>
          <w:b/>
          <w:szCs w:val="24"/>
        </w:rPr>
        <w:t>5</w:t>
      </w:r>
      <w:r>
        <w:rPr>
          <w:rFonts w:cs="Times New Roman"/>
          <w:b/>
          <w:szCs w:val="24"/>
        </w:rPr>
        <w:t>.4</w:t>
      </w:r>
      <w:r w:rsidR="00775626" w:rsidRPr="00775626">
        <w:rPr>
          <w:rFonts w:cs="Times New Roman"/>
          <w:b/>
          <w:szCs w:val="24"/>
        </w:rPr>
        <w:t xml:space="preserve">. </w:t>
      </w:r>
      <w:r w:rsidR="00DE4574" w:rsidRPr="00775626">
        <w:rPr>
          <w:rFonts w:cs="Times New Roman"/>
          <w:b/>
          <w:szCs w:val="24"/>
        </w:rPr>
        <w:t>Persónsamanfall</w:t>
      </w:r>
    </w:p>
    <w:p w:rsidR="00DE4574" w:rsidRDefault="00DE4574" w:rsidP="00D11EB5">
      <w:pPr>
        <w:spacing w:after="0"/>
        <w:rPr>
          <w:rFonts w:cs="Times New Roman"/>
          <w:szCs w:val="24"/>
        </w:rPr>
      </w:pPr>
    </w:p>
    <w:p w:rsidR="00D11EB5" w:rsidRPr="00D11EB5" w:rsidRDefault="00D11EB5" w:rsidP="00D11EB5">
      <w:pPr>
        <w:spacing w:after="0"/>
        <w:rPr>
          <w:rFonts w:cs="Times New Roman"/>
          <w:szCs w:val="24"/>
        </w:rPr>
      </w:pPr>
      <w:r w:rsidRPr="00D11EB5">
        <w:rPr>
          <w:rFonts w:cs="Times New Roman"/>
          <w:szCs w:val="24"/>
        </w:rPr>
        <w:t xml:space="preserve">Í § 57 í </w:t>
      </w:r>
      <w:r w:rsidR="00B64ADF">
        <w:rPr>
          <w:rFonts w:cs="Times New Roman"/>
          <w:szCs w:val="24"/>
        </w:rPr>
        <w:t>tryggingarlógini</w:t>
      </w:r>
      <w:r w:rsidR="0075025A">
        <w:rPr>
          <w:rFonts w:cs="Times New Roman"/>
          <w:szCs w:val="24"/>
        </w:rPr>
        <w:t xml:space="preserve"> </w:t>
      </w:r>
      <w:r w:rsidRPr="00D11EB5">
        <w:rPr>
          <w:rFonts w:cs="Times New Roman"/>
          <w:szCs w:val="24"/>
        </w:rPr>
        <w:t>er ásett, at starvið sum nevndarlimur í einum tryggingarfelag kann ikki sameinast við starvið sum stjóri í tryggingarfelagnum. Spur</w:t>
      </w:r>
      <w:r w:rsidR="009C2088">
        <w:rPr>
          <w:rFonts w:cs="Times New Roman"/>
          <w:szCs w:val="24"/>
        </w:rPr>
        <w:t>n</w:t>
      </w:r>
      <w:r w:rsidRPr="00D11EB5">
        <w:rPr>
          <w:rFonts w:cs="Times New Roman"/>
          <w:szCs w:val="24"/>
        </w:rPr>
        <w:t>ingurin um persónsamanfall í leiðsluni í ymsu fel</w:t>
      </w:r>
      <w:r w:rsidR="009C2088">
        <w:rPr>
          <w:rFonts w:cs="Times New Roman"/>
          <w:szCs w:val="24"/>
        </w:rPr>
        <w:t>ø</w:t>
      </w:r>
      <w:r w:rsidRPr="00D11EB5">
        <w:rPr>
          <w:rFonts w:cs="Times New Roman"/>
          <w:szCs w:val="24"/>
        </w:rPr>
        <w:t xml:space="preserve">gunum í eini samtøku </w:t>
      </w:r>
      <w:r>
        <w:rPr>
          <w:rFonts w:cs="Times New Roman"/>
          <w:szCs w:val="24"/>
        </w:rPr>
        <w:t>e</w:t>
      </w:r>
      <w:r w:rsidRPr="00D11EB5">
        <w:rPr>
          <w:rFonts w:cs="Times New Roman"/>
          <w:szCs w:val="24"/>
        </w:rPr>
        <w:t>r annars ikki nærri reguleraður í fíggjarligu lóggávuni.</w:t>
      </w:r>
    </w:p>
    <w:p w:rsidR="002D2F37" w:rsidRDefault="002D2F37" w:rsidP="002D2F37">
      <w:pPr>
        <w:spacing w:after="0"/>
        <w:rPr>
          <w:rFonts w:cs="Times New Roman"/>
          <w:b/>
          <w:szCs w:val="24"/>
        </w:rPr>
      </w:pPr>
    </w:p>
    <w:p w:rsidR="009735B6" w:rsidRPr="00343C12" w:rsidRDefault="009735B6" w:rsidP="002D2F37">
      <w:pPr>
        <w:spacing w:after="0"/>
        <w:rPr>
          <w:rFonts w:cs="Times New Roman"/>
          <w:szCs w:val="24"/>
        </w:rPr>
      </w:pPr>
      <w:r w:rsidRPr="00343C12">
        <w:rPr>
          <w:rFonts w:cs="Times New Roman"/>
          <w:szCs w:val="24"/>
        </w:rPr>
        <w:t>Samtøkubygnaðurin í Betri er ein møguligur samtøkuváði við tað</w:t>
      </w:r>
      <w:r w:rsidR="00343C12">
        <w:rPr>
          <w:rFonts w:cs="Times New Roman"/>
          <w:szCs w:val="24"/>
        </w:rPr>
        <w:t>,</w:t>
      </w:r>
      <w:r w:rsidRPr="00343C12">
        <w:rPr>
          <w:rFonts w:cs="Times New Roman"/>
          <w:szCs w:val="24"/>
        </w:rPr>
        <w:t xml:space="preserve"> at tað er persónsamanfall í leiðsluni bæði í OT, Betri P/F og teimum undirliggjandi </w:t>
      </w:r>
      <w:r w:rsidR="00343C12">
        <w:rPr>
          <w:rFonts w:cs="Times New Roman"/>
          <w:szCs w:val="24"/>
        </w:rPr>
        <w:t xml:space="preserve">rakstrarfeløgunum í </w:t>
      </w:r>
      <w:r w:rsidRPr="00343C12">
        <w:rPr>
          <w:rFonts w:cs="Times New Roman"/>
          <w:szCs w:val="24"/>
        </w:rPr>
        <w:t>samtøku</w:t>
      </w:r>
      <w:r w:rsidR="00343C12">
        <w:rPr>
          <w:rFonts w:cs="Times New Roman"/>
          <w:szCs w:val="24"/>
        </w:rPr>
        <w:t xml:space="preserve">ni, </w:t>
      </w:r>
      <w:r w:rsidRPr="00343C12">
        <w:rPr>
          <w:rFonts w:cs="Times New Roman"/>
          <w:szCs w:val="24"/>
        </w:rPr>
        <w:t>har stjórin í OT eisini er forstjóri í øllum feløgunum.</w:t>
      </w:r>
    </w:p>
    <w:p w:rsidR="009735B6" w:rsidRPr="00343C12" w:rsidRDefault="009735B6" w:rsidP="002D2F37">
      <w:pPr>
        <w:spacing w:after="0"/>
        <w:rPr>
          <w:rFonts w:cs="Times New Roman"/>
          <w:szCs w:val="24"/>
        </w:rPr>
      </w:pPr>
    </w:p>
    <w:p w:rsidR="00BB2D52" w:rsidRPr="00BB2D52" w:rsidRDefault="009735B6" w:rsidP="002D2F37">
      <w:pPr>
        <w:spacing w:after="0"/>
        <w:rPr>
          <w:rFonts w:cs="Times New Roman"/>
          <w:szCs w:val="24"/>
        </w:rPr>
      </w:pPr>
      <w:r w:rsidRPr="00BB2D52">
        <w:rPr>
          <w:rFonts w:cs="Times New Roman"/>
          <w:szCs w:val="24"/>
        </w:rPr>
        <w:t>Persónsamanfallið kann hava við sær,</w:t>
      </w:r>
      <w:r w:rsidR="00343C12" w:rsidRPr="00BB2D52">
        <w:rPr>
          <w:rFonts w:cs="Times New Roman"/>
          <w:szCs w:val="24"/>
        </w:rPr>
        <w:t xml:space="preserve"> at einstøk</w:t>
      </w:r>
      <w:r w:rsidR="00A64D60">
        <w:rPr>
          <w:rFonts w:cs="Times New Roman"/>
          <w:szCs w:val="24"/>
        </w:rPr>
        <w:t>u</w:t>
      </w:r>
      <w:r w:rsidR="00343C12" w:rsidRPr="00BB2D52">
        <w:rPr>
          <w:rFonts w:cs="Times New Roman"/>
          <w:szCs w:val="24"/>
        </w:rPr>
        <w:t xml:space="preserve"> feløgini í samtøkuni ikki hava ta neyðugu sjálvstøðu, sum skal til í eini kreppustøðu at forða fyri smittuvanda í samtøkuni, t.e. at trupulleikar í einum par</w:t>
      </w:r>
      <w:r w:rsidR="00A64D60">
        <w:rPr>
          <w:rFonts w:cs="Times New Roman"/>
          <w:szCs w:val="24"/>
        </w:rPr>
        <w:t>ti</w:t>
      </w:r>
      <w:r w:rsidR="00343C12" w:rsidRPr="00BB2D52">
        <w:rPr>
          <w:rFonts w:cs="Times New Roman"/>
          <w:szCs w:val="24"/>
        </w:rPr>
        <w:t xml:space="preserve"> av samtøkuni breiða </w:t>
      </w:r>
      <w:r w:rsidR="00A64D60">
        <w:rPr>
          <w:rFonts w:cs="Times New Roman"/>
          <w:szCs w:val="24"/>
        </w:rPr>
        <w:t>s</w:t>
      </w:r>
      <w:r w:rsidR="00343C12" w:rsidRPr="00BB2D52">
        <w:rPr>
          <w:rFonts w:cs="Times New Roman"/>
          <w:szCs w:val="24"/>
        </w:rPr>
        <w:t xml:space="preserve">eg til aðrar partar. </w:t>
      </w:r>
      <w:r w:rsidR="00455C9A">
        <w:rPr>
          <w:rFonts w:cs="Times New Roman"/>
          <w:szCs w:val="24"/>
        </w:rPr>
        <w:t xml:space="preserve">Vandi kann tí </w:t>
      </w:r>
      <w:r w:rsidR="00343C12" w:rsidRPr="00BB2D52">
        <w:rPr>
          <w:rFonts w:cs="Times New Roman"/>
          <w:szCs w:val="24"/>
        </w:rPr>
        <w:t>verða fyr</w:t>
      </w:r>
      <w:r w:rsidR="00A64D60">
        <w:rPr>
          <w:rFonts w:cs="Times New Roman"/>
          <w:szCs w:val="24"/>
        </w:rPr>
        <w:t>i</w:t>
      </w:r>
      <w:r w:rsidR="00343C12" w:rsidRPr="00BB2D52">
        <w:rPr>
          <w:rFonts w:cs="Times New Roman"/>
          <w:szCs w:val="24"/>
        </w:rPr>
        <w:t xml:space="preserve">, at t.d. ein bankakreppa breiðir seg </w:t>
      </w:r>
      <w:r w:rsidR="00A64D60">
        <w:rPr>
          <w:rFonts w:cs="Times New Roman"/>
          <w:szCs w:val="24"/>
        </w:rPr>
        <w:t xml:space="preserve">til </w:t>
      </w:r>
      <w:r w:rsidR="00343C12" w:rsidRPr="00BB2D52">
        <w:rPr>
          <w:rFonts w:cs="Times New Roman"/>
          <w:szCs w:val="24"/>
        </w:rPr>
        <w:t>tryggingarpartin í samtøkuni</w:t>
      </w:r>
      <w:r w:rsidR="00BB2D52" w:rsidRPr="00BB2D52">
        <w:rPr>
          <w:rFonts w:cs="Times New Roman"/>
          <w:szCs w:val="24"/>
        </w:rPr>
        <w:t xml:space="preserve">. Tað kann hava við sær, at áhugamál tryggingartakaranna í OT og </w:t>
      </w:r>
      <w:r w:rsidR="00BB2D52">
        <w:rPr>
          <w:rFonts w:cs="Times New Roman"/>
          <w:szCs w:val="24"/>
        </w:rPr>
        <w:t xml:space="preserve">í Betri P/F </w:t>
      </w:r>
      <w:r w:rsidR="00BB2D52" w:rsidRPr="00BB2D52">
        <w:rPr>
          <w:rFonts w:cs="Times New Roman"/>
          <w:szCs w:val="24"/>
        </w:rPr>
        <w:t xml:space="preserve">koma í vanda og </w:t>
      </w:r>
      <w:r w:rsidR="00A64D60">
        <w:rPr>
          <w:rFonts w:cs="Times New Roman"/>
          <w:szCs w:val="24"/>
        </w:rPr>
        <w:t xml:space="preserve">hava við sær </w:t>
      </w:r>
      <w:r w:rsidR="00BB2D52" w:rsidRPr="00BB2D52">
        <w:rPr>
          <w:rFonts w:cs="Times New Roman"/>
          <w:szCs w:val="24"/>
        </w:rPr>
        <w:t>minkandi álit á tryggingargeiran.</w:t>
      </w:r>
      <w:r w:rsidR="00A64D60">
        <w:rPr>
          <w:rFonts w:cs="Times New Roman"/>
          <w:szCs w:val="24"/>
        </w:rPr>
        <w:t xml:space="preserve"> </w:t>
      </w:r>
    </w:p>
    <w:p w:rsidR="00583A13" w:rsidRDefault="00583A13" w:rsidP="00D11EB5">
      <w:pPr>
        <w:spacing w:after="0"/>
        <w:rPr>
          <w:rFonts w:cs="Times New Roman"/>
          <w:b/>
          <w:szCs w:val="24"/>
        </w:rPr>
      </w:pPr>
    </w:p>
    <w:p w:rsidR="002D2F37" w:rsidRPr="009D5988" w:rsidRDefault="00583A13" w:rsidP="00D11EB5">
      <w:pPr>
        <w:spacing w:after="0"/>
        <w:rPr>
          <w:rFonts w:cs="Times New Roman"/>
          <w:szCs w:val="24"/>
        </w:rPr>
      </w:pPr>
      <w:r w:rsidRPr="009D5988">
        <w:rPr>
          <w:rFonts w:cs="Times New Roman"/>
          <w:szCs w:val="24"/>
        </w:rPr>
        <w:t>Tí verður skotið upp</w:t>
      </w:r>
      <w:r w:rsidR="00176B86" w:rsidRPr="009D5988">
        <w:rPr>
          <w:rFonts w:cs="Times New Roman"/>
          <w:szCs w:val="24"/>
        </w:rPr>
        <w:t>, at lóga</w:t>
      </w:r>
      <w:r w:rsidR="004F6C06">
        <w:rPr>
          <w:rFonts w:cs="Times New Roman"/>
          <w:szCs w:val="24"/>
        </w:rPr>
        <w:t>r</w:t>
      </w:r>
      <w:r w:rsidR="00176B86" w:rsidRPr="009D5988">
        <w:rPr>
          <w:rFonts w:cs="Times New Roman"/>
          <w:szCs w:val="24"/>
        </w:rPr>
        <w:t xml:space="preserve">regulera hetta í vinnufyrtøkulógini. </w:t>
      </w:r>
    </w:p>
    <w:p w:rsidR="00176B86" w:rsidRDefault="00176B86" w:rsidP="00D11EB5">
      <w:pPr>
        <w:spacing w:after="0"/>
        <w:rPr>
          <w:rFonts w:cs="Times New Roman"/>
          <w:b/>
          <w:szCs w:val="24"/>
        </w:rPr>
      </w:pPr>
    </w:p>
    <w:p w:rsidR="00BB2D52" w:rsidRDefault="00552EB5" w:rsidP="00D11EB5">
      <w:pPr>
        <w:spacing w:after="0"/>
        <w:rPr>
          <w:rFonts w:cs="Times New Roman"/>
          <w:b/>
          <w:szCs w:val="24"/>
        </w:rPr>
      </w:pPr>
      <w:r>
        <w:rPr>
          <w:rFonts w:cs="Times New Roman"/>
          <w:b/>
          <w:szCs w:val="24"/>
        </w:rPr>
        <w:t>1.5</w:t>
      </w:r>
      <w:r w:rsidR="00BB2D52">
        <w:rPr>
          <w:rFonts w:cs="Times New Roman"/>
          <w:b/>
          <w:szCs w:val="24"/>
        </w:rPr>
        <w:t>.5. Eftirlit</w:t>
      </w:r>
    </w:p>
    <w:p w:rsidR="00BB2D52" w:rsidRDefault="00BB2D52" w:rsidP="00D11EB5">
      <w:pPr>
        <w:spacing w:after="0"/>
        <w:rPr>
          <w:rFonts w:cs="Times New Roman"/>
          <w:szCs w:val="24"/>
        </w:rPr>
      </w:pPr>
    </w:p>
    <w:p w:rsidR="00BB2D52" w:rsidRDefault="00D11EB5" w:rsidP="00D11EB5">
      <w:pPr>
        <w:spacing w:after="0"/>
        <w:rPr>
          <w:rFonts w:cs="Times New Roman"/>
          <w:szCs w:val="24"/>
        </w:rPr>
      </w:pPr>
      <w:r w:rsidRPr="00457B27">
        <w:rPr>
          <w:rFonts w:cs="Times New Roman"/>
          <w:szCs w:val="24"/>
        </w:rPr>
        <w:t xml:space="preserve">Tryggingareftirlitið hevur </w:t>
      </w:r>
      <w:r w:rsidR="00BB2D52">
        <w:rPr>
          <w:rFonts w:cs="Times New Roman"/>
          <w:szCs w:val="24"/>
        </w:rPr>
        <w:t xml:space="preserve">eftir galdandi lóggávu </w:t>
      </w:r>
      <w:r w:rsidRPr="00457B27">
        <w:rPr>
          <w:rFonts w:cs="Times New Roman"/>
          <w:szCs w:val="24"/>
        </w:rPr>
        <w:t>eftirlit við</w:t>
      </w:r>
      <w:r w:rsidR="00BB2D52">
        <w:rPr>
          <w:rFonts w:cs="Times New Roman"/>
          <w:szCs w:val="24"/>
        </w:rPr>
        <w:t xml:space="preserve"> rakstrarfeløgunum Betri Trygging og Betri Pensjón</w:t>
      </w:r>
      <w:r w:rsidR="00A64D60">
        <w:rPr>
          <w:rFonts w:cs="Times New Roman"/>
          <w:szCs w:val="24"/>
        </w:rPr>
        <w:t>,</w:t>
      </w:r>
      <w:r w:rsidR="00BB2D52">
        <w:rPr>
          <w:rFonts w:cs="Times New Roman"/>
          <w:szCs w:val="24"/>
        </w:rPr>
        <w:t xml:space="preserve"> og </w:t>
      </w:r>
      <w:r w:rsidR="00A64D60">
        <w:rPr>
          <w:rFonts w:cs="Times New Roman"/>
          <w:szCs w:val="24"/>
        </w:rPr>
        <w:t xml:space="preserve">danska </w:t>
      </w:r>
      <w:r w:rsidR="00BB2D52">
        <w:rPr>
          <w:rFonts w:cs="Times New Roman"/>
          <w:szCs w:val="24"/>
        </w:rPr>
        <w:t>Fíggjareftirlitið hevur eftirlit við Betri Banki</w:t>
      </w:r>
      <w:r w:rsidR="000C31D1">
        <w:rPr>
          <w:rFonts w:cs="Times New Roman"/>
          <w:szCs w:val="24"/>
        </w:rPr>
        <w:t>, P/F Betri og OT</w:t>
      </w:r>
      <w:r w:rsidR="00BB2D52">
        <w:rPr>
          <w:rFonts w:cs="Times New Roman"/>
          <w:szCs w:val="24"/>
        </w:rPr>
        <w:t>.</w:t>
      </w:r>
    </w:p>
    <w:p w:rsidR="00BB2D52" w:rsidRDefault="00BB2D52" w:rsidP="00D11EB5">
      <w:pPr>
        <w:spacing w:after="0"/>
        <w:rPr>
          <w:rFonts w:cs="Times New Roman"/>
          <w:szCs w:val="24"/>
        </w:rPr>
      </w:pPr>
    </w:p>
    <w:p w:rsidR="00D11EB5" w:rsidRPr="00457B27" w:rsidRDefault="00D11EB5" w:rsidP="00D11EB5">
      <w:pPr>
        <w:spacing w:after="0"/>
        <w:rPr>
          <w:rFonts w:cs="Times New Roman"/>
          <w:szCs w:val="24"/>
        </w:rPr>
      </w:pPr>
      <w:r w:rsidRPr="00457B27">
        <w:rPr>
          <w:rFonts w:cs="Times New Roman"/>
          <w:szCs w:val="24"/>
        </w:rPr>
        <w:t>Síðani heimastýrislógina í 1948 hevur tryggingarvirksemi og harvið tryggingareftirlit verið føroyskt málsøki, meðan peningastovnsvirksemi og eftirlit við hesum hevur verið undir donskum málsræði.</w:t>
      </w:r>
    </w:p>
    <w:p w:rsidR="00D11EB5" w:rsidRPr="00457B27" w:rsidRDefault="00D11EB5" w:rsidP="00D11EB5">
      <w:pPr>
        <w:spacing w:after="0"/>
        <w:rPr>
          <w:rFonts w:cs="Times New Roman"/>
          <w:szCs w:val="24"/>
        </w:rPr>
      </w:pPr>
    </w:p>
    <w:p w:rsidR="001D61CD" w:rsidRDefault="00D11EB5" w:rsidP="00D11EB5">
      <w:pPr>
        <w:spacing w:after="0"/>
        <w:rPr>
          <w:rFonts w:cs="Times New Roman"/>
          <w:szCs w:val="24"/>
        </w:rPr>
      </w:pPr>
      <w:r w:rsidRPr="00457B27">
        <w:rPr>
          <w:rFonts w:cs="Times New Roman"/>
          <w:szCs w:val="24"/>
        </w:rPr>
        <w:t xml:space="preserve">I 1998 varð Tryggingarsambandið Føroyar umskipað til eitt sínámillum tryggingarfelag, Tryggingarfelagið Føroyar, og í 2003 varð felagið umskipað til partafelagið </w:t>
      </w:r>
    </w:p>
    <w:p w:rsidR="00D11EB5" w:rsidRPr="00457B27" w:rsidRDefault="00D11EB5" w:rsidP="00D11EB5">
      <w:pPr>
        <w:spacing w:after="0"/>
        <w:rPr>
          <w:rFonts w:cs="Times New Roman"/>
          <w:szCs w:val="24"/>
        </w:rPr>
      </w:pPr>
      <w:r w:rsidRPr="00457B27">
        <w:rPr>
          <w:rFonts w:cs="Times New Roman"/>
          <w:szCs w:val="24"/>
        </w:rPr>
        <w:t>Tryggingarfelagið Føroyar P/F við haldfelagsskapinum, TF Holding P/F, sum beinleiðis eigara og felagnum Ognarfelag Tryggingartakaranna f.v.a.á. sum ovasti eigari. TF samtakið hevur tí frá byrjan verið undir eftirliti av Tryggingareftirlitinum.</w:t>
      </w:r>
    </w:p>
    <w:p w:rsidR="001D61CD" w:rsidRDefault="001D61CD" w:rsidP="00D11EB5">
      <w:pPr>
        <w:spacing w:after="0"/>
        <w:rPr>
          <w:rFonts w:cs="Times New Roman"/>
          <w:szCs w:val="24"/>
        </w:rPr>
      </w:pPr>
    </w:p>
    <w:p w:rsidR="00D11EB5" w:rsidRPr="00457B27" w:rsidRDefault="00D11EB5" w:rsidP="00D11EB5">
      <w:pPr>
        <w:spacing w:after="0"/>
        <w:rPr>
          <w:rFonts w:cs="Times New Roman"/>
          <w:szCs w:val="24"/>
        </w:rPr>
      </w:pPr>
      <w:r w:rsidRPr="00457B27">
        <w:rPr>
          <w:rFonts w:cs="Times New Roman"/>
          <w:szCs w:val="24"/>
        </w:rPr>
        <w:t>TF Holding P/F keypti í 2011 70 % av partabrøvunum í Eik Banka Føroyar P/F frá Finansiel Stabilitet.</w:t>
      </w:r>
    </w:p>
    <w:p w:rsidR="00D11EB5" w:rsidRPr="00457B27" w:rsidRDefault="00D11EB5" w:rsidP="00D11EB5">
      <w:pPr>
        <w:spacing w:after="0"/>
        <w:rPr>
          <w:rFonts w:cs="Times New Roman"/>
          <w:szCs w:val="24"/>
        </w:rPr>
      </w:pPr>
    </w:p>
    <w:p w:rsidR="00D11EB5" w:rsidRPr="00457B27" w:rsidRDefault="00D11EB5" w:rsidP="00D11EB5">
      <w:pPr>
        <w:spacing w:after="0"/>
        <w:rPr>
          <w:rFonts w:cs="Times New Roman"/>
          <w:szCs w:val="24"/>
        </w:rPr>
      </w:pPr>
      <w:r w:rsidRPr="00457B27">
        <w:rPr>
          <w:rFonts w:cs="Times New Roman"/>
          <w:szCs w:val="24"/>
        </w:rPr>
        <w:t xml:space="preserve">Í sambandi við hetta keypið stungu seg upp nakrir óvæntaðir spurningar viðvíkjandi regluverkinum fyri TF samtakið, </w:t>
      </w:r>
      <w:r w:rsidR="00DA43B0">
        <w:rPr>
          <w:rFonts w:cs="Times New Roman"/>
          <w:szCs w:val="24"/>
        </w:rPr>
        <w:t xml:space="preserve">m.a. tí at </w:t>
      </w:r>
      <w:r w:rsidRPr="00457B27">
        <w:rPr>
          <w:rFonts w:cs="Times New Roman"/>
          <w:szCs w:val="24"/>
        </w:rPr>
        <w:t>lógarreglur um tílík samtøk og um uppgerð av kapitalkravi hjá einum fíggjarligum haldfelag ikki vóru við í tryggingarlógini</w:t>
      </w:r>
      <w:r w:rsidR="00DA43B0">
        <w:rPr>
          <w:rFonts w:cs="Times New Roman"/>
          <w:szCs w:val="24"/>
        </w:rPr>
        <w:t xml:space="preserve">. Slíkar lógarreglur eru einans </w:t>
      </w:r>
      <w:r w:rsidRPr="00457B27">
        <w:rPr>
          <w:rFonts w:cs="Times New Roman"/>
          <w:szCs w:val="24"/>
        </w:rPr>
        <w:t xml:space="preserve">í </w:t>
      </w:r>
      <w:r w:rsidR="0075025A">
        <w:rPr>
          <w:rFonts w:cs="Times New Roman"/>
          <w:szCs w:val="24"/>
        </w:rPr>
        <w:t xml:space="preserve">FIL, </w:t>
      </w:r>
      <w:r w:rsidRPr="00457B27">
        <w:rPr>
          <w:rFonts w:cs="Times New Roman"/>
          <w:szCs w:val="24"/>
        </w:rPr>
        <w:t>sum er galdandi fyri føroysku peningastovnarnar. Tryggingareftirlitið kundi tí ikki handhevja tílíkar lógarreglur.</w:t>
      </w:r>
    </w:p>
    <w:p w:rsidR="00457B27" w:rsidRDefault="00457B27" w:rsidP="00D11EB5">
      <w:pPr>
        <w:spacing w:after="0"/>
        <w:rPr>
          <w:rFonts w:cs="Times New Roman"/>
          <w:szCs w:val="24"/>
        </w:rPr>
      </w:pPr>
    </w:p>
    <w:p w:rsidR="00D11EB5" w:rsidRPr="00457B27" w:rsidRDefault="008C3FAF" w:rsidP="00D11EB5">
      <w:pPr>
        <w:spacing w:after="0"/>
        <w:rPr>
          <w:rFonts w:cs="Times New Roman"/>
          <w:szCs w:val="24"/>
        </w:rPr>
      </w:pPr>
      <w:r>
        <w:rPr>
          <w:rFonts w:cs="Times New Roman"/>
          <w:szCs w:val="24"/>
        </w:rPr>
        <w:t xml:space="preserve">Av tí at </w:t>
      </w:r>
      <w:r w:rsidR="00D11EB5" w:rsidRPr="00457B27">
        <w:rPr>
          <w:rFonts w:cs="Times New Roman"/>
          <w:szCs w:val="24"/>
        </w:rPr>
        <w:t>peningastovnsvirksemi er undir eftirliti av danska fíggjareftirlitinum, tók Tryggingareftirlitið upp spurningin við danska Fíggjareftirlitið um, hvør myndugleiki skuldi hava eftirlit við TF Holding P/F og OT í framtíðini.</w:t>
      </w:r>
    </w:p>
    <w:p w:rsidR="00457B27" w:rsidRDefault="00457B27" w:rsidP="00D11EB5">
      <w:pPr>
        <w:spacing w:after="0"/>
        <w:rPr>
          <w:rFonts w:cs="Times New Roman"/>
          <w:szCs w:val="24"/>
        </w:rPr>
      </w:pPr>
    </w:p>
    <w:p w:rsidR="001D61CD" w:rsidRPr="001D61CD" w:rsidRDefault="00D11EB5" w:rsidP="001D61CD">
      <w:pPr>
        <w:spacing w:after="0"/>
        <w:rPr>
          <w:rFonts w:cs="Times New Roman"/>
          <w:szCs w:val="24"/>
        </w:rPr>
      </w:pPr>
      <w:r w:rsidRPr="00457B27">
        <w:rPr>
          <w:rFonts w:cs="Times New Roman"/>
          <w:szCs w:val="24"/>
        </w:rPr>
        <w:t>Úrslitið av samskiftinum við danska Fíggjareftirlitið varð, at semja var um ein praksis, har dan</w:t>
      </w:r>
      <w:r w:rsidR="001D61CD">
        <w:rPr>
          <w:rFonts w:cs="Times New Roman"/>
          <w:szCs w:val="24"/>
        </w:rPr>
        <w:t xml:space="preserve">ska </w:t>
      </w:r>
      <w:r w:rsidR="001D61CD" w:rsidRPr="001D61CD">
        <w:rPr>
          <w:rFonts w:cs="Times New Roman"/>
          <w:szCs w:val="24"/>
        </w:rPr>
        <w:t xml:space="preserve">Fíggjareftirlitið tók yvir eftirlitið við TF Holding P/F og OT, </w:t>
      </w:r>
      <w:r w:rsidR="008C3FAF">
        <w:rPr>
          <w:rFonts w:cs="Times New Roman"/>
          <w:szCs w:val="24"/>
        </w:rPr>
        <w:t xml:space="preserve">serliga tí </w:t>
      </w:r>
      <w:r w:rsidR="001D61CD" w:rsidRPr="001D61CD">
        <w:rPr>
          <w:rFonts w:cs="Times New Roman"/>
          <w:szCs w:val="24"/>
        </w:rPr>
        <w:t xml:space="preserve">peningastovnurin hevði størri part av samlaða fíggjarjavnanum hjá samtakinum enn tryggingarfeløgini. TF Holding P/F og OT vórðu tí í hesum sambandi at meta sum fíggjarligir haldfelagsskapir, sbrt. FIL § 5, stk. 1, nr. 10, </w:t>
      </w:r>
      <w:r w:rsidR="00A64D60">
        <w:rPr>
          <w:rFonts w:cs="Times New Roman"/>
          <w:szCs w:val="24"/>
        </w:rPr>
        <w:t xml:space="preserve">og </w:t>
      </w:r>
      <w:r w:rsidR="001D61CD" w:rsidRPr="001D61CD">
        <w:rPr>
          <w:rFonts w:cs="Times New Roman"/>
          <w:szCs w:val="24"/>
        </w:rPr>
        <w:t xml:space="preserve">undir eftirliti av danska fíggjareftirlitinum, og harvið ikki longur fíggjarligir haldfelagsskapir, sbrt. § 5, stk. 1, nr. 4, í </w:t>
      </w:r>
      <w:r w:rsidR="00903C4B">
        <w:rPr>
          <w:rFonts w:cs="Times New Roman"/>
          <w:szCs w:val="24"/>
        </w:rPr>
        <w:t>tryggingarlógini</w:t>
      </w:r>
      <w:r w:rsidR="0075025A">
        <w:rPr>
          <w:rFonts w:cs="Times New Roman"/>
          <w:szCs w:val="24"/>
        </w:rPr>
        <w:t xml:space="preserve">. </w:t>
      </w:r>
    </w:p>
    <w:p w:rsidR="001D61CD" w:rsidRDefault="001D61CD" w:rsidP="001D61CD">
      <w:pPr>
        <w:spacing w:after="0"/>
        <w:rPr>
          <w:rFonts w:cs="Times New Roman"/>
          <w:szCs w:val="24"/>
        </w:rPr>
      </w:pPr>
    </w:p>
    <w:p w:rsidR="001D61CD" w:rsidRDefault="001D61CD" w:rsidP="001D61CD">
      <w:pPr>
        <w:spacing w:after="0"/>
        <w:rPr>
          <w:rFonts w:cs="Times New Roman"/>
          <w:szCs w:val="24"/>
        </w:rPr>
      </w:pPr>
      <w:r w:rsidRPr="001D61CD">
        <w:rPr>
          <w:rFonts w:cs="Times New Roman"/>
          <w:szCs w:val="24"/>
        </w:rPr>
        <w:lastRenderedPageBreak/>
        <w:t xml:space="preserve">Í 2016 hevur Tryggingareftirlitið havt samskifti við danska Fíggjareftirlitið um at gera eina formliga samstarvsavtalu um eitt skipað samtakseftirlit við øllum TF samtakinum. Hetta arbeiðið er fyribils steðgað, inntil politisk greiða er fingin á, um lógarkarmarnir kring TF samtakið verða broyttir. </w:t>
      </w:r>
    </w:p>
    <w:p w:rsidR="001D61CD" w:rsidRDefault="001D61CD" w:rsidP="00604A80">
      <w:pPr>
        <w:tabs>
          <w:tab w:val="left" w:pos="1985"/>
        </w:tabs>
        <w:spacing w:after="0"/>
        <w:rPr>
          <w:rFonts w:cs="Times New Roman"/>
          <w:szCs w:val="24"/>
        </w:rPr>
      </w:pPr>
    </w:p>
    <w:p w:rsidR="00D11EB5" w:rsidRPr="00457B27" w:rsidRDefault="004C7854" w:rsidP="001D61CD">
      <w:pPr>
        <w:spacing w:after="0"/>
        <w:rPr>
          <w:rFonts w:cs="Times New Roman"/>
          <w:szCs w:val="24"/>
        </w:rPr>
      </w:pPr>
      <w:r>
        <w:rPr>
          <w:rFonts w:cs="Times New Roman"/>
          <w:szCs w:val="24"/>
        </w:rPr>
        <w:t xml:space="preserve">Tørvur er tí á, at fáa greiðari lógarkarmar </w:t>
      </w:r>
      <w:r w:rsidR="006610C2">
        <w:rPr>
          <w:rFonts w:cs="Times New Roman"/>
          <w:szCs w:val="24"/>
        </w:rPr>
        <w:t>fyri samtakið</w:t>
      </w:r>
      <w:r>
        <w:rPr>
          <w:rFonts w:cs="Times New Roman"/>
          <w:szCs w:val="24"/>
        </w:rPr>
        <w:t xml:space="preserve">, fyri at tryggja </w:t>
      </w:r>
      <w:r w:rsidR="001D61CD" w:rsidRPr="001D61CD">
        <w:rPr>
          <w:rFonts w:cs="Times New Roman"/>
          <w:szCs w:val="24"/>
        </w:rPr>
        <w:t>eitt meira effektivt samtakseftirlit.</w:t>
      </w:r>
    </w:p>
    <w:p w:rsidR="00E95299" w:rsidRDefault="00E95299" w:rsidP="00E95299">
      <w:pPr>
        <w:spacing w:after="0"/>
        <w:rPr>
          <w:rFonts w:cs="Times New Roman"/>
          <w:b/>
          <w:szCs w:val="24"/>
        </w:rPr>
      </w:pPr>
    </w:p>
    <w:p w:rsidR="00E95299" w:rsidRPr="004C7854" w:rsidRDefault="004C7854" w:rsidP="00E95299">
      <w:pPr>
        <w:spacing w:after="0"/>
        <w:rPr>
          <w:rFonts w:cs="Times New Roman"/>
          <w:b/>
          <w:szCs w:val="24"/>
        </w:rPr>
      </w:pPr>
      <w:r w:rsidRPr="004C7854">
        <w:rPr>
          <w:rFonts w:cs="Times New Roman"/>
          <w:b/>
          <w:szCs w:val="24"/>
        </w:rPr>
        <w:t>1.</w:t>
      </w:r>
      <w:r w:rsidR="00552EB5">
        <w:rPr>
          <w:rFonts w:cs="Times New Roman"/>
          <w:b/>
          <w:szCs w:val="24"/>
        </w:rPr>
        <w:t>5</w:t>
      </w:r>
      <w:r w:rsidRPr="004C7854">
        <w:rPr>
          <w:rFonts w:cs="Times New Roman"/>
          <w:b/>
          <w:szCs w:val="24"/>
        </w:rPr>
        <w:t xml:space="preserve">.6. </w:t>
      </w:r>
      <w:r w:rsidR="00E95299" w:rsidRPr="004C7854">
        <w:rPr>
          <w:rFonts w:cs="Times New Roman"/>
          <w:b/>
          <w:szCs w:val="24"/>
        </w:rPr>
        <w:t>Vinnufyritøkulógin</w:t>
      </w:r>
    </w:p>
    <w:p w:rsidR="00E95299" w:rsidRDefault="00E95299" w:rsidP="00E95299">
      <w:pPr>
        <w:spacing w:after="0"/>
        <w:rPr>
          <w:rFonts w:cs="Times New Roman"/>
          <w:b/>
          <w:szCs w:val="24"/>
        </w:rPr>
      </w:pPr>
    </w:p>
    <w:p w:rsidR="00E95299" w:rsidRPr="00E95299" w:rsidRDefault="00E95299" w:rsidP="00E95299">
      <w:pPr>
        <w:spacing w:after="0"/>
        <w:rPr>
          <w:rFonts w:cs="Times New Roman"/>
          <w:szCs w:val="24"/>
        </w:rPr>
      </w:pPr>
      <w:r w:rsidRPr="00E95299">
        <w:rPr>
          <w:rFonts w:cs="Times New Roman"/>
          <w:szCs w:val="24"/>
        </w:rPr>
        <w:t xml:space="preserve">Í </w:t>
      </w:r>
      <w:r w:rsidR="00A64D60">
        <w:rPr>
          <w:rFonts w:cs="Times New Roman"/>
          <w:szCs w:val="24"/>
        </w:rPr>
        <w:t>vinnufyritøkulógini</w:t>
      </w:r>
      <w:r w:rsidRPr="00E95299">
        <w:rPr>
          <w:rFonts w:cs="Times New Roman"/>
          <w:szCs w:val="24"/>
        </w:rPr>
        <w:t xml:space="preserve"> er ásett, at lógin er galdandi fyri umskipaðar fyrrverandi fíggjarfyritøkur.</w:t>
      </w:r>
    </w:p>
    <w:p w:rsidR="00E95299" w:rsidRPr="00E95299" w:rsidRDefault="00E95299" w:rsidP="00E95299">
      <w:pPr>
        <w:spacing w:after="0"/>
        <w:rPr>
          <w:rFonts w:cs="Times New Roman"/>
          <w:szCs w:val="24"/>
        </w:rPr>
      </w:pPr>
    </w:p>
    <w:p w:rsidR="00E95299" w:rsidRPr="00E95299" w:rsidRDefault="00E95299" w:rsidP="00E95299">
      <w:pPr>
        <w:spacing w:after="0"/>
        <w:rPr>
          <w:rFonts w:cs="Times New Roman"/>
          <w:szCs w:val="24"/>
        </w:rPr>
      </w:pPr>
      <w:r w:rsidRPr="00E95299">
        <w:rPr>
          <w:rFonts w:cs="Times New Roman"/>
          <w:szCs w:val="24"/>
        </w:rPr>
        <w:t>Eftir lógini er ein umskipað fyrrverandi fíggjarfyritøka ein fíggjarfyritøka, har fíggjarvirksemið er skilt frá í sambandi við umskipan av fíggjarfyritøkuni sambært ávíkavist kongligari fyriskipan “om ikrafttræden for Færøerne af lov om finansiel virksomhed” og løgtingslógini um tryggingarvirksemi.</w:t>
      </w:r>
    </w:p>
    <w:p w:rsidR="00E95299" w:rsidRPr="00E95299" w:rsidRDefault="00E95299" w:rsidP="00E95299">
      <w:pPr>
        <w:spacing w:after="0"/>
        <w:rPr>
          <w:rFonts w:cs="Times New Roman"/>
          <w:szCs w:val="24"/>
        </w:rPr>
      </w:pPr>
    </w:p>
    <w:p w:rsidR="00E95299" w:rsidRPr="00E95299" w:rsidRDefault="00E95299" w:rsidP="00E95299">
      <w:pPr>
        <w:spacing w:after="0"/>
        <w:rPr>
          <w:rFonts w:cs="Times New Roman"/>
          <w:szCs w:val="24"/>
        </w:rPr>
      </w:pPr>
      <w:r w:rsidRPr="00E95299">
        <w:rPr>
          <w:rFonts w:cs="Times New Roman"/>
          <w:szCs w:val="24"/>
        </w:rPr>
        <w:t xml:space="preserve">Fyri fyritøkur, sum eru skrásettar hjá Skráseting Føroya </w:t>
      </w:r>
      <w:r w:rsidR="00A3189A">
        <w:rPr>
          <w:rFonts w:cs="Times New Roman"/>
          <w:szCs w:val="24"/>
        </w:rPr>
        <w:t xml:space="preserve"> sambært</w:t>
      </w:r>
      <w:r w:rsidRPr="00E95299">
        <w:rPr>
          <w:rFonts w:cs="Times New Roman"/>
          <w:szCs w:val="24"/>
        </w:rPr>
        <w:t xml:space="preserve"> </w:t>
      </w:r>
      <w:r w:rsidR="00A64D60">
        <w:rPr>
          <w:rFonts w:cs="Times New Roman"/>
          <w:szCs w:val="24"/>
        </w:rPr>
        <w:t>vinnufyritøkulógini</w:t>
      </w:r>
      <w:r w:rsidRPr="00E95299">
        <w:rPr>
          <w:rFonts w:cs="Times New Roman"/>
          <w:szCs w:val="24"/>
        </w:rPr>
        <w:t xml:space="preserve">, eru bert fá materiel lógarkrøv galdandi. Undantikið einstakar allýsingar eru í </w:t>
      </w:r>
      <w:r w:rsidR="00A3189A">
        <w:rPr>
          <w:rFonts w:cs="Times New Roman"/>
          <w:szCs w:val="24"/>
        </w:rPr>
        <w:t>vinnufyritøkulógini</w:t>
      </w:r>
      <w:r w:rsidRPr="00E95299">
        <w:rPr>
          <w:rFonts w:cs="Times New Roman"/>
          <w:szCs w:val="24"/>
        </w:rPr>
        <w:t xml:space="preserve"> ikki krøv til viðtøkurnar hjá fyritøkunum, organisasjón, kapital, leiðslu ella limarættindi/skyldur. Slíkar </w:t>
      </w:r>
      <w:r w:rsidR="006D0141">
        <w:rPr>
          <w:rFonts w:cs="Times New Roman"/>
          <w:szCs w:val="24"/>
        </w:rPr>
        <w:t>viðurskifti</w:t>
      </w:r>
      <w:r w:rsidRPr="00E95299">
        <w:rPr>
          <w:rFonts w:cs="Times New Roman"/>
          <w:szCs w:val="24"/>
        </w:rPr>
        <w:t xml:space="preserve"> fylgja av vanligum felags- og avtalurætti, og verð</w:t>
      </w:r>
      <w:r w:rsidR="006D0141">
        <w:rPr>
          <w:rFonts w:cs="Times New Roman"/>
          <w:szCs w:val="24"/>
        </w:rPr>
        <w:t xml:space="preserve">a </w:t>
      </w:r>
      <w:r w:rsidRPr="00E95299">
        <w:rPr>
          <w:rFonts w:cs="Times New Roman"/>
          <w:szCs w:val="24"/>
        </w:rPr>
        <w:t xml:space="preserve">regulerað í viðtøkunum hjá tí einstøku fyritøkuni. </w:t>
      </w:r>
    </w:p>
    <w:p w:rsidR="00E95299" w:rsidRPr="00E95299" w:rsidRDefault="00E95299" w:rsidP="00E95299">
      <w:pPr>
        <w:spacing w:after="0"/>
        <w:rPr>
          <w:rFonts w:cs="Times New Roman"/>
          <w:szCs w:val="24"/>
        </w:rPr>
      </w:pPr>
    </w:p>
    <w:p w:rsidR="00E95299" w:rsidRPr="00E95299" w:rsidRDefault="00E95299" w:rsidP="00E95299">
      <w:pPr>
        <w:spacing w:after="0"/>
        <w:rPr>
          <w:rFonts w:cs="Times New Roman"/>
          <w:szCs w:val="24"/>
        </w:rPr>
      </w:pPr>
      <w:r w:rsidRPr="00E95299">
        <w:rPr>
          <w:rFonts w:cs="Times New Roman"/>
          <w:szCs w:val="24"/>
        </w:rPr>
        <w:t xml:space="preserve">Ásetingin í § 1 a í </w:t>
      </w:r>
      <w:r w:rsidR="00A3189A">
        <w:rPr>
          <w:rFonts w:cs="Times New Roman"/>
          <w:szCs w:val="24"/>
        </w:rPr>
        <w:t>vinnufyritøkulógini</w:t>
      </w:r>
      <w:r w:rsidRPr="00E95299">
        <w:rPr>
          <w:rFonts w:cs="Times New Roman"/>
          <w:szCs w:val="24"/>
        </w:rPr>
        <w:t xml:space="preserve"> varð sett inn í lógina í 2012, og samstundis varð í lógini skipað eitt serligt eftirlit við OT. Hetta ikki eitt fíggjareftirlit, men eitt sonevnt legalitetseftirlit, líknandi eftirlitinum við vinnurekandi grunnum eftir lógini um vinnurekandi grunnar. Orsøkin til</w:t>
      </w:r>
      <w:r w:rsidR="00A3189A">
        <w:rPr>
          <w:rFonts w:cs="Times New Roman"/>
          <w:szCs w:val="24"/>
        </w:rPr>
        <w:t>,</w:t>
      </w:r>
      <w:r w:rsidRPr="00E95299">
        <w:rPr>
          <w:rFonts w:cs="Times New Roman"/>
          <w:szCs w:val="24"/>
        </w:rPr>
        <w:t xml:space="preserve"> at tað er skipað eitt eftirlit við vinnurekandi grunnum</w:t>
      </w:r>
      <w:r w:rsidR="00A3189A">
        <w:rPr>
          <w:rFonts w:cs="Times New Roman"/>
          <w:szCs w:val="24"/>
        </w:rPr>
        <w:t>,</w:t>
      </w:r>
      <w:r w:rsidRPr="00E95299">
        <w:rPr>
          <w:rFonts w:cs="Times New Roman"/>
          <w:szCs w:val="24"/>
        </w:rPr>
        <w:t xml:space="preserve"> er, at har eru eingir eksternir eigarar, sum á aðalfundi kunnu hava eitt ávíst eftirlit við, at grunnurin verður rikin á fullgóðan hátt. Grunnaeftirlitið kemur so at siga í staðin fyri aðalfundin.</w:t>
      </w:r>
    </w:p>
    <w:p w:rsidR="00E95299" w:rsidRPr="00E95299" w:rsidRDefault="00E95299" w:rsidP="00E95299">
      <w:pPr>
        <w:spacing w:after="0"/>
        <w:rPr>
          <w:rFonts w:cs="Times New Roman"/>
          <w:b/>
          <w:szCs w:val="24"/>
        </w:rPr>
      </w:pPr>
    </w:p>
    <w:p w:rsidR="00E95299" w:rsidRPr="00E95299" w:rsidRDefault="00E95299" w:rsidP="00E95299">
      <w:pPr>
        <w:spacing w:after="0"/>
        <w:rPr>
          <w:rFonts w:cs="Times New Roman"/>
          <w:szCs w:val="24"/>
        </w:rPr>
      </w:pPr>
      <w:r w:rsidRPr="00E95299">
        <w:rPr>
          <w:rFonts w:cs="Times New Roman"/>
          <w:szCs w:val="24"/>
        </w:rPr>
        <w:t>Eigaraviðuskiftini í feløgum sum OT, sum eru umskipaðar fyrrverandi fíggjarfyritøkur, líkjast eigaravið</w:t>
      </w:r>
      <w:r w:rsidR="00F6790C">
        <w:rPr>
          <w:rFonts w:cs="Times New Roman"/>
          <w:szCs w:val="24"/>
        </w:rPr>
        <w:t>u</w:t>
      </w:r>
      <w:r w:rsidRPr="00E95299">
        <w:rPr>
          <w:rFonts w:cs="Times New Roman"/>
          <w:szCs w:val="24"/>
        </w:rPr>
        <w:t xml:space="preserve">rskiftunum í grunnum. </w:t>
      </w:r>
    </w:p>
    <w:p w:rsidR="00E95299" w:rsidRPr="00E95299" w:rsidRDefault="00E95299" w:rsidP="00E95299">
      <w:pPr>
        <w:spacing w:after="0"/>
        <w:rPr>
          <w:rFonts w:cs="Times New Roman"/>
          <w:szCs w:val="24"/>
        </w:rPr>
      </w:pPr>
    </w:p>
    <w:p w:rsidR="00E95299" w:rsidRPr="00E95299" w:rsidRDefault="00E95299" w:rsidP="00E95299">
      <w:pPr>
        <w:spacing w:after="0"/>
        <w:rPr>
          <w:rFonts w:cs="Times New Roman"/>
          <w:szCs w:val="24"/>
        </w:rPr>
      </w:pPr>
      <w:r w:rsidRPr="00E95299">
        <w:rPr>
          <w:rFonts w:cs="Times New Roman"/>
          <w:szCs w:val="24"/>
        </w:rPr>
        <w:t>Í einum partafelag útinna kapitalfelagsins eigarar gjøgnum aðalfundin eftirlit við og velja nevndina. Tað eru sostatt eigararnir sum í útgangsstøði meta um handilsligu disposi</w:t>
      </w:r>
      <w:r w:rsidR="00A3189A">
        <w:rPr>
          <w:rFonts w:cs="Times New Roman"/>
          <w:szCs w:val="24"/>
        </w:rPr>
        <w:t>t</w:t>
      </w:r>
      <w:r w:rsidRPr="00E95299">
        <w:rPr>
          <w:rFonts w:cs="Times New Roman"/>
          <w:szCs w:val="24"/>
        </w:rPr>
        <w:t>ónirnar hjá leiðsluni og sum møguliga skifta leiðsluna út.</w:t>
      </w:r>
    </w:p>
    <w:p w:rsidR="00E95299" w:rsidRPr="00E95299" w:rsidRDefault="00E95299" w:rsidP="00E95299">
      <w:pPr>
        <w:spacing w:after="0"/>
        <w:rPr>
          <w:rFonts w:cs="Times New Roman"/>
          <w:szCs w:val="24"/>
        </w:rPr>
      </w:pPr>
    </w:p>
    <w:p w:rsidR="00E95299" w:rsidRPr="00E95299" w:rsidRDefault="00E95299" w:rsidP="00E95299">
      <w:pPr>
        <w:spacing w:after="0"/>
        <w:rPr>
          <w:rFonts w:cs="Times New Roman"/>
          <w:szCs w:val="24"/>
        </w:rPr>
      </w:pPr>
      <w:r w:rsidRPr="00E95299">
        <w:rPr>
          <w:rFonts w:cs="Times New Roman"/>
          <w:szCs w:val="24"/>
        </w:rPr>
        <w:t>Í OT eru eksternir eigarar, men eigaraviðurskiftini og møguleikin hjá limunum at gera sína ávirkan galdandi við val av nevnd víkja frá tí, sum annars er galdandi í t.d. partafeløgum.</w:t>
      </w:r>
    </w:p>
    <w:p w:rsidR="00E95299" w:rsidRPr="00E95299" w:rsidRDefault="00E95299" w:rsidP="00E95299">
      <w:pPr>
        <w:spacing w:after="0"/>
        <w:rPr>
          <w:rFonts w:cs="Times New Roman"/>
          <w:szCs w:val="24"/>
        </w:rPr>
      </w:pPr>
    </w:p>
    <w:p w:rsidR="00E95299" w:rsidRDefault="00E95299" w:rsidP="00086403">
      <w:pPr>
        <w:spacing w:after="0"/>
        <w:rPr>
          <w:rFonts w:cs="Times New Roman"/>
          <w:szCs w:val="24"/>
        </w:rPr>
      </w:pPr>
      <w:r w:rsidRPr="00E95299">
        <w:rPr>
          <w:rFonts w:cs="Times New Roman"/>
          <w:szCs w:val="24"/>
        </w:rPr>
        <w:t xml:space="preserve">Limir í OT og eigarar av Betri samtakinum eru allir tryggingartakarar í Betri </w:t>
      </w:r>
      <w:r w:rsidR="000C31D1">
        <w:rPr>
          <w:rFonts w:cs="Times New Roman"/>
          <w:szCs w:val="24"/>
        </w:rPr>
        <w:t>Trygging</w:t>
      </w:r>
      <w:r w:rsidRPr="00E95299">
        <w:rPr>
          <w:rFonts w:cs="Times New Roman"/>
          <w:szCs w:val="24"/>
        </w:rPr>
        <w:t>, t.</w:t>
      </w:r>
      <w:r w:rsidR="00A3189A">
        <w:rPr>
          <w:rFonts w:cs="Times New Roman"/>
          <w:szCs w:val="24"/>
        </w:rPr>
        <w:t>e.</w:t>
      </w:r>
      <w:r w:rsidRPr="00E95299">
        <w:rPr>
          <w:rFonts w:cs="Times New Roman"/>
          <w:szCs w:val="24"/>
        </w:rPr>
        <w:t xml:space="preserve"> flest øll, sum eru búsitandi í Føroyum. Luttakararnir velja ikki nevndina á einum aðalfundi, men teir velja eitt umboðsráð, sum velur nevndina</w:t>
      </w:r>
      <w:r w:rsidRPr="00E95299">
        <w:rPr>
          <w:rFonts w:cs="Times New Roman"/>
          <w:b/>
          <w:szCs w:val="24"/>
        </w:rPr>
        <w:t xml:space="preserve">. </w:t>
      </w:r>
      <w:r w:rsidRPr="00E95299">
        <w:rPr>
          <w:rFonts w:cs="Times New Roman"/>
          <w:szCs w:val="24"/>
        </w:rPr>
        <w:t>Limirnir í OT eru eigarar – tó við avmarkaðum fyri</w:t>
      </w:r>
      <w:r w:rsidR="00A3189A">
        <w:rPr>
          <w:rFonts w:cs="Times New Roman"/>
          <w:szCs w:val="24"/>
        </w:rPr>
        <w:t>si</w:t>
      </w:r>
      <w:r w:rsidRPr="00E95299">
        <w:rPr>
          <w:rFonts w:cs="Times New Roman"/>
          <w:szCs w:val="24"/>
        </w:rPr>
        <w:t>tingarligum og fíggjarligum rættindum – tí teir gera nýtslu av veitingum frá feløgunum í samtakinum, og ikki tí teir eru íleggjarar, og hava áhuga fyri íløguni. Spjaddi eigaraskarin og vantandi áeggjan hjá eigarunum at fylgja við í viðurskiftunum</w:t>
      </w:r>
      <w:r w:rsidR="009D5988">
        <w:rPr>
          <w:rFonts w:cs="Times New Roman"/>
          <w:szCs w:val="24"/>
        </w:rPr>
        <w:t xml:space="preserve"> ger, at tað er minni áhugi í, at velja eina kompetenta nevnd. </w:t>
      </w:r>
    </w:p>
    <w:p w:rsidR="009D5988" w:rsidRPr="00E95299" w:rsidRDefault="009D5988" w:rsidP="00086403">
      <w:pPr>
        <w:spacing w:after="0"/>
        <w:rPr>
          <w:rFonts w:cs="Times New Roman"/>
          <w:szCs w:val="24"/>
        </w:rPr>
      </w:pPr>
    </w:p>
    <w:p w:rsidR="00E95299" w:rsidRPr="00E95299" w:rsidRDefault="00E95299" w:rsidP="00E95299">
      <w:pPr>
        <w:spacing w:after="0"/>
        <w:rPr>
          <w:rFonts w:cs="Times New Roman"/>
          <w:szCs w:val="24"/>
        </w:rPr>
      </w:pPr>
      <w:r w:rsidRPr="00E95299">
        <w:rPr>
          <w:rFonts w:cs="Times New Roman"/>
          <w:szCs w:val="24"/>
        </w:rPr>
        <w:lastRenderedPageBreak/>
        <w:t xml:space="preserve">Orsakað av nevndu viðurskiftum varð lógin broytt í 2012, og skipað var eitt serligt </w:t>
      </w:r>
      <w:r w:rsidR="00C2209C">
        <w:rPr>
          <w:rFonts w:cs="Times New Roman"/>
          <w:szCs w:val="24"/>
        </w:rPr>
        <w:t>grunnalíkandi e</w:t>
      </w:r>
      <w:r w:rsidRPr="00E95299">
        <w:rPr>
          <w:rFonts w:cs="Times New Roman"/>
          <w:szCs w:val="24"/>
        </w:rPr>
        <w:t xml:space="preserve">ftirlit við OT, sum Skráseting Føroya </w:t>
      </w:r>
      <w:r w:rsidR="00604A80" w:rsidRPr="00E95299">
        <w:rPr>
          <w:rFonts w:cs="Times New Roman"/>
          <w:szCs w:val="24"/>
        </w:rPr>
        <w:t>útinnir</w:t>
      </w:r>
      <w:r w:rsidRPr="00E95299">
        <w:rPr>
          <w:rFonts w:cs="Times New Roman"/>
          <w:szCs w:val="24"/>
        </w:rPr>
        <w:t>.</w:t>
      </w:r>
    </w:p>
    <w:p w:rsidR="00E95299" w:rsidRDefault="00E95299" w:rsidP="00086403">
      <w:pPr>
        <w:spacing w:after="0"/>
        <w:rPr>
          <w:rFonts w:cs="Times New Roman"/>
          <w:b/>
          <w:szCs w:val="24"/>
        </w:rPr>
      </w:pPr>
    </w:p>
    <w:p w:rsidR="0076665D" w:rsidRPr="00771B25" w:rsidRDefault="00E95299" w:rsidP="00086403">
      <w:pPr>
        <w:spacing w:after="0"/>
        <w:rPr>
          <w:rFonts w:cs="Times New Roman"/>
          <w:b/>
          <w:szCs w:val="24"/>
        </w:rPr>
      </w:pPr>
      <w:r>
        <w:rPr>
          <w:rFonts w:cs="Times New Roman"/>
          <w:b/>
          <w:szCs w:val="24"/>
        </w:rPr>
        <w:t xml:space="preserve">1.6. </w:t>
      </w:r>
      <w:r w:rsidR="0076665D" w:rsidRPr="00771B25">
        <w:rPr>
          <w:rFonts w:cs="Times New Roman"/>
          <w:b/>
          <w:szCs w:val="24"/>
        </w:rPr>
        <w:t>Samandráttur av nýskipanini við uppskotinum</w:t>
      </w:r>
    </w:p>
    <w:p w:rsidR="00775626" w:rsidRDefault="00775626" w:rsidP="00B43D06">
      <w:pPr>
        <w:spacing w:after="0"/>
        <w:rPr>
          <w:rFonts w:cs="Times New Roman"/>
          <w:szCs w:val="24"/>
        </w:rPr>
      </w:pPr>
    </w:p>
    <w:p w:rsidR="00B43D06" w:rsidRPr="00B43D06" w:rsidRDefault="00B43D06" w:rsidP="00B43D06">
      <w:pPr>
        <w:spacing w:after="0"/>
        <w:rPr>
          <w:rFonts w:cs="Times New Roman"/>
          <w:szCs w:val="24"/>
        </w:rPr>
      </w:pPr>
      <w:r w:rsidRPr="00B43D06">
        <w:rPr>
          <w:rFonts w:cs="Times New Roman"/>
          <w:szCs w:val="24"/>
        </w:rPr>
        <w:t>Betri samtøkan er ein samfelagstýðandi og samansett fíggjarlig fyritøka, sum rekur bæði  peningastovnsvirksemi, skaðatryggingarvirksemi, og pensjónstrygging</w:t>
      </w:r>
      <w:r w:rsidR="001650D5">
        <w:rPr>
          <w:rFonts w:cs="Times New Roman"/>
          <w:szCs w:val="24"/>
        </w:rPr>
        <w:t xml:space="preserve">. </w:t>
      </w:r>
      <w:r w:rsidR="001650D5" w:rsidRPr="001650D5">
        <w:rPr>
          <w:rFonts w:cs="Times New Roman"/>
          <w:szCs w:val="24"/>
        </w:rPr>
        <w:t>Tað er tí ein innbygdur váði í samtakinum</w:t>
      </w:r>
      <w:r w:rsidR="001650D5">
        <w:rPr>
          <w:rFonts w:cs="Times New Roman"/>
          <w:szCs w:val="24"/>
        </w:rPr>
        <w:t>. Haru</w:t>
      </w:r>
      <w:r w:rsidR="001650D5" w:rsidRPr="001650D5">
        <w:rPr>
          <w:rFonts w:cs="Times New Roman"/>
          <w:szCs w:val="24"/>
        </w:rPr>
        <w:t xml:space="preserve">mframt </w:t>
      </w:r>
      <w:r w:rsidR="001650D5">
        <w:rPr>
          <w:rFonts w:cs="Times New Roman"/>
          <w:szCs w:val="24"/>
        </w:rPr>
        <w:t xml:space="preserve">eru </w:t>
      </w:r>
      <w:r w:rsidR="001650D5" w:rsidRPr="001650D5">
        <w:rPr>
          <w:rFonts w:cs="Times New Roman"/>
          <w:szCs w:val="24"/>
        </w:rPr>
        <w:t>ógreið eftirlit</w:t>
      </w:r>
      <w:r w:rsidR="001650D5">
        <w:rPr>
          <w:rFonts w:cs="Times New Roman"/>
          <w:szCs w:val="24"/>
        </w:rPr>
        <w:t>s</w:t>
      </w:r>
      <w:r w:rsidR="001650D5" w:rsidRPr="001650D5">
        <w:rPr>
          <w:rFonts w:cs="Times New Roman"/>
          <w:szCs w:val="24"/>
        </w:rPr>
        <w:t>viðurskifti og serlig eigaraviðurskifti</w:t>
      </w:r>
      <w:r w:rsidR="001650D5">
        <w:rPr>
          <w:rFonts w:cs="Times New Roman"/>
          <w:szCs w:val="24"/>
        </w:rPr>
        <w:t xml:space="preserve"> </w:t>
      </w:r>
      <w:r w:rsidR="00A1284B">
        <w:rPr>
          <w:rFonts w:cs="Times New Roman"/>
          <w:szCs w:val="24"/>
        </w:rPr>
        <w:t xml:space="preserve">í OT </w:t>
      </w:r>
      <w:r w:rsidR="00D1261B">
        <w:rPr>
          <w:rFonts w:cs="Times New Roman"/>
          <w:szCs w:val="24"/>
        </w:rPr>
        <w:t xml:space="preserve">umframt persónssamanfall </w:t>
      </w:r>
      <w:r w:rsidR="001650D5">
        <w:rPr>
          <w:rFonts w:cs="Times New Roman"/>
          <w:szCs w:val="24"/>
        </w:rPr>
        <w:t xml:space="preserve">í samtakinum, sum kunnu økja um tann váða, sum er innbygdur í samtakinum. </w:t>
      </w:r>
    </w:p>
    <w:p w:rsidR="001650D5" w:rsidRDefault="001650D5" w:rsidP="00B43D06">
      <w:pPr>
        <w:spacing w:after="0"/>
        <w:rPr>
          <w:rFonts w:cs="Times New Roman"/>
          <w:szCs w:val="24"/>
        </w:rPr>
      </w:pPr>
    </w:p>
    <w:p w:rsidR="00C2209C" w:rsidRDefault="00B43D06" w:rsidP="00B43D06">
      <w:pPr>
        <w:spacing w:after="0"/>
        <w:rPr>
          <w:rFonts w:cs="Times New Roman"/>
          <w:szCs w:val="24"/>
        </w:rPr>
      </w:pPr>
      <w:r w:rsidRPr="00B43D06">
        <w:rPr>
          <w:rFonts w:cs="Times New Roman"/>
          <w:szCs w:val="24"/>
        </w:rPr>
        <w:t>Fyri at minka um váðan</w:t>
      </w:r>
      <w:r w:rsidR="001650D5">
        <w:rPr>
          <w:rFonts w:cs="Times New Roman"/>
          <w:szCs w:val="24"/>
        </w:rPr>
        <w:t xml:space="preserve"> í sambandi við Betri samtakið, og fyri </w:t>
      </w:r>
      <w:r w:rsidRPr="00B43D06">
        <w:rPr>
          <w:rFonts w:cs="Times New Roman"/>
          <w:szCs w:val="24"/>
        </w:rPr>
        <w:t>at verja tryggingarpartin í OT í mun til bankapartin</w:t>
      </w:r>
      <w:r w:rsidR="002D3D2D">
        <w:rPr>
          <w:rFonts w:cs="Times New Roman"/>
          <w:szCs w:val="24"/>
        </w:rPr>
        <w:t>, soleiðis</w:t>
      </w:r>
      <w:r w:rsidRPr="00B43D06">
        <w:rPr>
          <w:rFonts w:cs="Times New Roman"/>
          <w:szCs w:val="24"/>
        </w:rPr>
        <w:t xml:space="preserve"> at OT kann halda fram</w:t>
      </w:r>
      <w:r w:rsidR="000C0935">
        <w:rPr>
          <w:rFonts w:cs="Times New Roman"/>
          <w:szCs w:val="24"/>
        </w:rPr>
        <w:t xml:space="preserve">, sum eigari av </w:t>
      </w:r>
      <w:r w:rsidRPr="00B43D06">
        <w:rPr>
          <w:rFonts w:cs="Times New Roman"/>
          <w:szCs w:val="24"/>
        </w:rPr>
        <w:t>tryggingar</w:t>
      </w:r>
      <w:r w:rsidR="000C0935">
        <w:rPr>
          <w:rFonts w:cs="Times New Roman"/>
          <w:szCs w:val="24"/>
        </w:rPr>
        <w:t xml:space="preserve">feløgunum, </w:t>
      </w:r>
      <w:r w:rsidRPr="00B43D06">
        <w:rPr>
          <w:rFonts w:cs="Times New Roman"/>
          <w:szCs w:val="24"/>
        </w:rPr>
        <w:t>um ein bankakreppa kemur</w:t>
      </w:r>
      <w:r w:rsidR="00831F7E">
        <w:rPr>
          <w:rFonts w:cs="Times New Roman"/>
          <w:szCs w:val="24"/>
        </w:rPr>
        <w:t>,</w:t>
      </w:r>
      <w:r w:rsidRPr="00B43D06">
        <w:rPr>
          <w:rFonts w:cs="Times New Roman"/>
          <w:szCs w:val="24"/>
        </w:rPr>
        <w:t xml:space="preserve"> </w:t>
      </w:r>
      <w:r w:rsidR="00C2209C">
        <w:rPr>
          <w:rFonts w:cs="Times New Roman"/>
          <w:szCs w:val="24"/>
        </w:rPr>
        <w:t>verður skotið upp</w:t>
      </w:r>
      <w:r w:rsidR="009F2423">
        <w:rPr>
          <w:rFonts w:cs="Times New Roman"/>
          <w:szCs w:val="24"/>
        </w:rPr>
        <w:t>, at broyta vinnufyritøkulógina soleiðis:</w:t>
      </w:r>
    </w:p>
    <w:p w:rsidR="009F2423" w:rsidRDefault="009F2423" w:rsidP="00B43D06">
      <w:pPr>
        <w:spacing w:after="0"/>
        <w:rPr>
          <w:rFonts w:cs="Times New Roman"/>
          <w:szCs w:val="24"/>
        </w:rPr>
      </w:pPr>
    </w:p>
    <w:p w:rsidR="009F2423" w:rsidRPr="00861201" w:rsidRDefault="009F2423" w:rsidP="00B43D06">
      <w:pPr>
        <w:spacing w:after="0"/>
        <w:rPr>
          <w:rFonts w:cs="Times New Roman"/>
          <w:i/>
          <w:szCs w:val="24"/>
        </w:rPr>
      </w:pPr>
      <w:r w:rsidRPr="00861201">
        <w:rPr>
          <w:rFonts w:cs="Times New Roman"/>
          <w:i/>
          <w:szCs w:val="24"/>
        </w:rPr>
        <w:t>Nýggjur samtøkubygnaður</w:t>
      </w:r>
    </w:p>
    <w:p w:rsidR="009F2423" w:rsidRDefault="009F2423" w:rsidP="00B43D06">
      <w:pPr>
        <w:spacing w:after="0"/>
        <w:rPr>
          <w:rFonts w:cs="Times New Roman"/>
          <w:szCs w:val="24"/>
        </w:rPr>
      </w:pPr>
      <w:r w:rsidRPr="009F2423">
        <w:rPr>
          <w:rFonts w:cs="Times New Roman"/>
          <w:szCs w:val="24"/>
        </w:rPr>
        <w:t>Fyri at kunna reka bæði tryggingarvirksemi og peningastovnsvirksemi í Betri samtakinum, krevst, at beinleiðis eigarin av rakstrarfeløgunum er ávikavist ein  peningastovnshaldfelagsskapur og ein tryggingarhaldfelagsskapur.</w:t>
      </w:r>
    </w:p>
    <w:p w:rsidR="000C0935" w:rsidRDefault="000C0935" w:rsidP="00B65189">
      <w:pPr>
        <w:spacing w:after="0"/>
        <w:jc w:val="center"/>
        <w:rPr>
          <w:rFonts w:cs="Times New Roman"/>
          <w:szCs w:val="24"/>
        </w:rPr>
      </w:pPr>
    </w:p>
    <w:p w:rsidR="00207F62" w:rsidRDefault="000C0935" w:rsidP="000C0935">
      <w:pPr>
        <w:spacing w:after="0"/>
      </w:pPr>
      <w:r>
        <w:rPr>
          <w:rFonts w:cs="Times New Roman"/>
          <w:szCs w:val="24"/>
        </w:rPr>
        <w:t>U</w:t>
      </w:r>
      <w:r w:rsidRPr="000C0935">
        <w:rPr>
          <w:rFonts w:cs="Times New Roman"/>
          <w:szCs w:val="24"/>
        </w:rPr>
        <w:t>ppskotið um at peningastovnsvirksemi og tryggingarvirksemi ikki longur má verða rikið undir sama fíggjarliga haldfelagsskapi</w:t>
      </w:r>
      <w:r>
        <w:rPr>
          <w:rFonts w:cs="Times New Roman"/>
          <w:szCs w:val="24"/>
        </w:rPr>
        <w:t xml:space="preserve"> hevur við sær, at nýggju reglurnar í uppskotinum um at broyta tryggingarlógina verða galdandi fyri tryggingarhaldfelagið.</w:t>
      </w:r>
      <w:r w:rsidR="004C01E3">
        <w:rPr>
          <w:rFonts w:cs="Times New Roman"/>
          <w:szCs w:val="24"/>
        </w:rPr>
        <w:t xml:space="preserve"> Tað snýr seg um</w:t>
      </w:r>
      <w:r w:rsidR="004C01E3" w:rsidRPr="004C01E3">
        <w:t xml:space="preserve"> </w:t>
      </w:r>
      <w:r w:rsidR="00207F62">
        <w:t>fylgjandi reglur</w:t>
      </w:r>
      <w:r w:rsidR="000E5C3E">
        <w:t>,</w:t>
      </w:r>
      <w:r w:rsidR="00207F62">
        <w:t xml:space="preserve"> sum e</w:t>
      </w:r>
      <w:r w:rsidR="00CC3C33">
        <w:t>i</w:t>
      </w:r>
      <w:r w:rsidR="00207F62">
        <w:t>sini verða galdandi fyri tryggingarhaldfelagið:</w:t>
      </w:r>
    </w:p>
    <w:p w:rsidR="00CC3C33" w:rsidRDefault="00CC3C33" w:rsidP="000C0935">
      <w:pPr>
        <w:spacing w:after="0"/>
        <w:rPr>
          <w:rFonts w:cs="Times New Roman"/>
          <w:szCs w:val="24"/>
        </w:rPr>
      </w:pPr>
    </w:p>
    <w:p w:rsidR="00207F62" w:rsidRPr="00CC3C33" w:rsidRDefault="00207F62" w:rsidP="00CC3C33">
      <w:pPr>
        <w:pStyle w:val="Listeafsnit"/>
        <w:numPr>
          <w:ilvl w:val="0"/>
          <w:numId w:val="12"/>
        </w:numPr>
        <w:spacing w:after="0"/>
        <w:rPr>
          <w:rFonts w:cs="Times New Roman"/>
          <w:szCs w:val="24"/>
        </w:rPr>
      </w:pPr>
      <w:r w:rsidRPr="00CC3C33">
        <w:rPr>
          <w:rFonts w:cs="Times New Roman"/>
          <w:szCs w:val="24"/>
        </w:rPr>
        <w:t xml:space="preserve">§ 110 í </w:t>
      </w:r>
      <w:r w:rsidR="000E5C3E">
        <w:rPr>
          <w:rFonts w:cs="Times New Roman"/>
          <w:szCs w:val="24"/>
        </w:rPr>
        <w:t>tryggingarlógini</w:t>
      </w:r>
      <w:r w:rsidR="0075025A">
        <w:rPr>
          <w:rFonts w:cs="Times New Roman"/>
          <w:szCs w:val="24"/>
        </w:rPr>
        <w:t xml:space="preserve"> </w:t>
      </w:r>
      <w:r w:rsidRPr="00CC3C33">
        <w:rPr>
          <w:rFonts w:cs="Times New Roman"/>
          <w:szCs w:val="24"/>
        </w:rPr>
        <w:t>um at eitt tryggingarfelag ikki uttan loyvi frá Tryggingareftirlitinum kann hava skuldbindingar við aðrar fyritøkur í somu samtøku, undantikið skuldbindingar við dótturfeløg.</w:t>
      </w:r>
    </w:p>
    <w:p w:rsidR="00CC3C33" w:rsidRPr="00CC3C33" w:rsidRDefault="00CC3C33" w:rsidP="00CC3C33">
      <w:pPr>
        <w:pStyle w:val="Listeafsnit"/>
        <w:spacing w:after="0"/>
        <w:rPr>
          <w:rFonts w:cs="Times New Roman"/>
          <w:szCs w:val="24"/>
        </w:rPr>
      </w:pPr>
    </w:p>
    <w:p w:rsidR="009F2423" w:rsidRPr="00CC3C33" w:rsidRDefault="00207F62" w:rsidP="00CC3C33">
      <w:pPr>
        <w:pStyle w:val="Listeafsnit"/>
        <w:numPr>
          <w:ilvl w:val="0"/>
          <w:numId w:val="12"/>
        </w:numPr>
        <w:spacing w:after="0"/>
        <w:rPr>
          <w:rFonts w:cs="Times New Roman"/>
          <w:szCs w:val="24"/>
        </w:rPr>
      </w:pPr>
      <w:r w:rsidRPr="00CC3C33">
        <w:rPr>
          <w:rFonts w:cs="Times New Roman"/>
          <w:szCs w:val="24"/>
        </w:rPr>
        <w:t>Uppgerð av individuell</w:t>
      </w:r>
      <w:r w:rsidR="00CC3C33" w:rsidRPr="00CC3C33">
        <w:rPr>
          <w:rFonts w:cs="Times New Roman"/>
          <w:szCs w:val="24"/>
        </w:rPr>
        <w:t xml:space="preserve">um </w:t>
      </w:r>
      <w:r w:rsidRPr="00CC3C33">
        <w:rPr>
          <w:rFonts w:cs="Times New Roman"/>
          <w:szCs w:val="24"/>
        </w:rPr>
        <w:t>solvenstørvi</w:t>
      </w:r>
      <w:r w:rsidR="00CC3C33" w:rsidRPr="00CC3C33">
        <w:rPr>
          <w:rFonts w:cs="Times New Roman"/>
          <w:szCs w:val="24"/>
        </w:rPr>
        <w:t xml:space="preserve"> </w:t>
      </w:r>
      <w:r w:rsidRPr="00CC3C33">
        <w:rPr>
          <w:rFonts w:cs="Times New Roman"/>
          <w:szCs w:val="24"/>
        </w:rPr>
        <w:t>(ISB)</w:t>
      </w:r>
      <w:r w:rsidR="00CC3C33" w:rsidRPr="00CC3C33">
        <w:rPr>
          <w:rFonts w:cs="Times New Roman"/>
          <w:szCs w:val="24"/>
        </w:rPr>
        <w:t>. OT</w:t>
      </w:r>
      <w:r w:rsidR="000C0935" w:rsidRPr="00CC3C33">
        <w:rPr>
          <w:rFonts w:cs="Times New Roman"/>
          <w:szCs w:val="24"/>
        </w:rPr>
        <w:t xml:space="preserve"> og </w:t>
      </w:r>
      <w:r w:rsidR="00CC3C33" w:rsidRPr="00CC3C33">
        <w:rPr>
          <w:rFonts w:cs="Times New Roman"/>
          <w:szCs w:val="24"/>
        </w:rPr>
        <w:t xml:space="preserve">Betri P/F </w:t>
      </w:r>
      <w:r w:rsidR="000C0935" w:rsidRPr="00CC3C33">
        <w:rPr>
          <w:rFonts w:cs="Times New Roman"/>
          <w:szCs w:val="24"/>
        </w:rPr>
        <w:t>eru í dag fíggjarligir haldfelagsskapir, sum er fevndir av einum kapitalkravi, sum verður gjørt upp sum á leið 8 % av aktivunum. Eitt tílíkt kapitalkrav leggur ikki upp fyri øllum teimum váðum, sum eru í fyritøkuni, samanborið við eina</w:t>
      </w:r>
      <w:r w:rsidR="00CC3C33" w:rsidRPr="00CC3C33">
        <w:rPr>
          <w:rFonts w:cs="Times New Roman"/>
          <w:szCs w:val="24"/>
        </w:rPr>
        <w:t xml:space="preserve"> </w:t>
      </w:r>
      <w:r w:rsidR="000C0935" w:rsidRPr="00CC3C33">
        <w:rPr>
          <w:rFonts w:cs="Times New Roman"/>
          <w:szCs w:val="24"/>
        </w:rPr>
        <w:t>uppgerð av individuella solvenstørvinum (ISB), sum skal leggja upp fyri øllum váðum í fyritøkuni.</w:t>
      </w:r>
      <w:r w:rsidR="00CC3C33" w:rsidRPr="00CC3C33">
        <w:rPr>
          <w:rFonts w:cs="Times New Roman"/>
          <w:szCs w:val="24"/>
        </w:rPr>
        <w:t xml:space="preserve"> Við uppbýtinum </w:t>
      </w:r>
      <w:r w:rsidR="000C0935" w:rsidRPr="00CC3C33">
        <w:rPr>
          <w:rFonts w:cs="Times New Roman"/>
          <w:szCs w:val="24"/>
        </w:rPr>
        <w:t>í ein peningastovnshaldfelagsskap og ein tryggingarhaldfelagsskap</w:t>
      </w:r>
      <w:r w:rsidR="00CC3C33" w:rsidRPr="00CC3C33">
        <w:rPr>
          <w:rFonts w:cs="Times New Roman"/>
          <w:szCs w:val="24"/>
        </w:rPr>
        <w:t xml:space="preserve"> skulu </w:t>
      </w:r>
      <w:r w:rsidR="000C0935" w:rsidRPr="00CC3C33">
        <w:rPr>
          <w:rFonts w:cs="Times New Roman"/>
          <w:szCs w:val="24"/>
        </w:rPr>
        <w:t xml:space="preserve">báðir haldfelagsskapirnir gera upp sítt ISB sambært ávikavist § 171 í </w:t>
      </w:r>
      <w:r w:rsidR="00A3189A">
        <w:rPr>
          <w:rFonts w:cs="Times New Roman"/>
          <w:szCs w:val="24"/>
        </w:rPr>
        <w:t>FIL</w:t>
      </w:r>
      <w:r w:rsidR="00A3189A" w:rsidRPr="00CC3C33">
        <w:rPr>
          <w:rFonts w:cs="Times New Roman"/>
          <w:szCs w:val="24"/>
        </w:rPr>
        <w:t xml:space="preserve"> </w:t>
      </w:r>
      <w:r w:rsidR="000C0935" w:rsidRPr="00CC3C33">
        <w:rPr>
          <w:rFonts w:cs="Times New Roman"/>
          <w:szCs w:val="24"/>
        </w:rPr>
        <w:t xml:space="preserve">og § 81 í </w:t>
      </w:r>
      <w:r w:rsidR="00174F5C">
        <w:rPr>
          <w:rFonts w:cs="Times New Roman"/>
          <w:szCs w:val="24"/>
        </w:rPr>
        <w:t>tryggingarlógini</w:t>
      </w:r>
      <w:r w:rsidR="000C0935" w:rsidRPr="00CC3C33">
        <w:rPr>
          <w:rFonts w:cs="Times New Roman"/>
          <w:szCs w:val="24"/>
        </w:rPr>
        <w:t>.</w:t>
      </w:r>
      <w:r w:rsidR="00CC3C33" w:rsidRPr="00CC3C33">
        <w:rPr>
          <w:rFonts w:cs="Times New Roman"/>
          <w:szCs w:val="24"/>
        </w:rPr>
        <w:t xml:space="preserve"> </w:t>
      </w:r>
      <w:r w:rsidR="000C0935" w:rsidRPr="00CC3C33">
        <w:rPr>
          <w:rFonts w:cs="Times New Roman"/>
          <w:szCs w:val="24"/>
        </w:rPr>
        <w:t>Uppskotið til nýggjan samtaksbygnað hevur ikki nakra ávirkan á kapitalkravið hjá OT.</w:t>
      </w:r>
    </w:p>
    <w:p w:rsidR="000C0935" w:rsidRPr="00CC3C33" w:rsidRDefault="000C0935" w:rsidP="00CC3C33">
      <w:pPr>
        <w:spacing w:after="0"/>
        <w:ind w:left="360"/>
        <w:rPr>
          <w:rFonts w:cs="Times New Roman"/>
          <w:szCs w:val="24"/>
        </w:rPr>
      </w:pPr>
    </w:p>
    <w:p w:rsidR="00CC3C33" w:rsidRPr="00CC3C33" w:rsidRDefault="00CC3C33" w:rsidP="00CC3C33">
      <w:pPr>
        <w:pStyle w:val="Listeafsnit"/>
        <w:numPr>
          <w:ilvl w:val="0"/>
          <w:numId w:val="12"/>
        </w:numPr>
        <w:spacing w:after="0"/>
        <w:rPr>
          <w:rFonts w:cs="Times New Roman"/>
          <w:szCs w:val="24"/>
        </w:rPr>
      </w:pPr>
      <w:r w:rsidRPr="00CC3C33">
        <w:rPr>
          <w:rFonts w:cs="Times New Roman"/>
          <w:szCs w:val="24"/>
        </w:rPr>
        <w:t>Kollektiv førleikakrøv til leiðsluna í tryggingarhaldfeløgum</w:t>
      </w:r>
      <w:r w:rsidR="00A3189A">
        <w:rPr>
          <w:rFonts w:cs="Times New Roman"/>
          <w:szCs w:val="24"/>
        </w:rPr>
        <w:t>.</w:t>
      </w:r>
    </w:p>
    <w:p w:rsidR="00CC3C33" w:rsidRDefault="00CC3C33" w:rsidP="00B43D06">
      <w:pPr>
        <w:spacing w:after="0"/>
        <w:rPr>
          <w:rFonts w:cs="Times New Roman"/>
          <w:szCs w:val="24"/>
        </w:rPr>
      </w:pPr>
    </w:p>
    <w:p w:rsidR="00CC3C33" w:rsidRDefault="00CC3C33" w:rsidP="00B43D06">
      <w:pPr>
        <w:spacing w:after="0"/>
        <w:rPr>
          <w:rFonts w:cs="Times New Roman"/>
          <w:szCs w:val="24"/>
        </w:rPr>
      </w:pPr>
      <w:r>
        <w:rPr>
          <w:rFonts w:cs="Times New Roman"/>
          <w:szCs w:val="24"/>
        </w:rPr>
        <w:t>Harumframt hevur uppbýtið í tve</w:t>
      </w:r>
      <w:r w:rsidR="00475251">
        <w:rPr>
          <w:rFonts w:cs="Times New Roman"/>
          <w:szCs w:val="24"/>
        </w:rPr>
        <w:t>y</w:t>
      </w:r>
      <w:r>
        <w:rPr>
          <w:rFonts w:cs="Times New Roman"/>
          <w:szCs w:val="24"/>
        </w:rPr>
        <w:t xml:space="preserve"> haldfeløg við sær</w:t>
      </w:r>
      <w:r w:rsidR="00475251">
        <w:rPr>
          <w:rFonts w:cs="Times New Roman"/>
          <w:szCs w:val="24"/>
        </w:rPr>
        <w:t xml:space="preserve">, at tað verða </w:t>
      </w:r>
      <w:r>
        <w:rPr>
          <w:rFonts w:cs="Times New Roman"/>
          <w:szCs w:val="24"/>
        </w:rPr>
        <w:t>greiðari lógarkarmar um eftirlitið á sa</w:t>
      </w:r>
      <w:r w:rsidR="00475251">
        <w:rPr>
          <w:rFonts w:cs="Times New Roman"/>
          <w:szCs w:val="24"/>
        </w:rPr>
        <w:t>m</w:t>
      </w:r>
      <w:r>
        <w:rPr>
          <w:rFonts w:cs="Times New Roman"/>
          <w:szCs w:val="24"/>
        </w:rPr>
        <w:t xml:space="preserve">tøkustigið og </w:t>
      </w:r>
      <w:r w:rsidR="000C0935" w:rsidRPr="000C0935">
        <w:rPr>
          <w:rFonts w:cs="Times New Roman"/>
          <w:szCs w:val="24"/>
        </w:rPr>
        <w:t xml:space="preserve">eitt </w:t>
      </w:r>
      <w:r>
        <w:rPr>
          <w:rFonts w:cs="Times New Roman"/>
          <w:szCs w:val="24"/>
        </w:rPr>
        <w:t>meira effektivt samta</w:t>
      </w:r>
      <w:r w:rsidR="00475251">
        <w:rPr>
          <w:rFonts w:cs="Times New Roman"/>
          <w:szCs w:val="24"/>
        </w:rPr>
        <w:t>kseftirlit við tað, at Trygging</w:t>
      </w:r>
      <w:r>
        <w:rPr>
          <w:rFonts w:cs="Times New Roman"/>
          <w:szCs w:val="24"/>
        </w:rPr>
        <w:t>are</w:t>
      </w:r>
      <w:r w:rsidR="00174F5C">
        <w:rPr>
          <w:rFonts w:cs="Times New Roman"/>
          <w:szCs w:val="24"/>
        </w:rPr>
        <w:t>ftirlitið hevur eftirlit við tryg</w:t>
      </w:r>
      <w:r>
        <w:rPr>
          <w:rFonts w:cs="Times New Roman"/>
          <w:szCs w:val="24"/>
        </w:rPr>
        <w:t>gingarhaldfelagnum og Fíggjareftirlitið hevur eftirliti</w:t>
      </w:r>
      <w:r w:rsidR="00475251">
        <w:rPr>
          <w:rFonts w:cs="Times New Roman"/>
          <w:szCs w:val="24"/>
        </w:rPr>
        <w:t xml:space="preserve">ð við </w:t>
      </w:r>
      <w:r w:rsidR="00D1261B">
        <w:rPr>
          <w:rFonts w:cs="Times New Roman"/>
          <w:szCs w:val="24"/>
        </w:rPr>
        <w:t>peningastovnshaldfelagnum</w:t>
      </w:r>
      <w:r w:rsidR="00475251">
        <w:rPr>
          <w:rFonts w:cs="Times New Roman"/>
          <w:szCs w:val="24"/>
        </w:rPr>
        <w:t>.</w:t>
      </w:r>
    </w:p>
    <w:p w:rsidR="00CC3C33" w:rsidRDefault="00CC3C33" w:rsidP="00B43D06">
      <w:pPr>
        <w:spacing w:after="0"/>
        <w:rPr>
          <w:rFonts w:cs="Times New Roman"/>
          <w:szCs w:val="24"/>
        </w:rPr>
      </w:pPr>
    </w:p>
    <w:p w:rsidR="009F2423" w:rsidRPr="00861201" w:rsidRDefault="00475251" w:rsidP="009F2423">
      <w:pPr>
        <w:spacing w:after="0"/>
        <w:rPr>
          <w:rFonts w:cs="Times New Roman"/>
          <w:i/>
          <w:szCs w:val="24"/>
        </w:rPr>
      </w:pPr>
      <w:r>
        <w:rPr>
          <w:rFonts w:cs="Times New Roman"/>
          <w:i/>
          <w:szCs w:val="24"/>
        </w:rPr>
        <w:t>Kapitalbindingar</w:t>
      </w:r>
    </w:p>
    <w:p w:rsidR="00861201" w:rsidRDefault="009F2423" w:rsidP="009F2423">
      <w:pPr>
        <w:spacing w:after="0"/>
        <w:rPr>
          <w:rFonts w:cs="Times New Roman"/>
          <w:szCs w:val="24"/>
        </w:rPr>
      </w:pPr>
      <w:r w:rsidRPr="009F2423">
        <w:rPr>
          <w:rFonts w:cs="Times New Roman"/>
          <w:szCs w:val="24"/>
        </w:rPr>
        <w:t xml:space="preserve">Skotið verður </w:t>
      </w:r>
      <w:r w:rsidR="00475251">
        <w:rPr>
          <w:rFonts w:cs="Times New Roman"/>
          <w:szCs w:val="24"/>
        </w:rPr>
        <w:t>u</w:t>
      </w:r>
      <w:r w:rsidRPr="009F2423">
        <w:rPr>
          <w:rFonts w:cs="Times New Roman"/>
          <w:szCs w:val="24"/>
        </w:rPr>
        <w:t>pp, at OT ikki kann fíggja kapitalinnskot í ávikavis</w:t>
      </w:r>
      <w:r w:rsidR="00174F5C">
        <w:rPr>
          <w:rFonts w:cs="Times New Roman"/>
          <w:szCs w:val="24"/>
        </w:rPr>
        <w:t>t peningastovnhaldfelagsskapin og tryggingarhaldfelagsskapin umframt dótturfeløg</w:t>
      </w:r>
      <w:r w:rsidRPr="009F2423">
        <w:rPr>
          <w:rFonts w:cs="Times New Roman"/>
          <w:szCs w:val="24"/>
        </w:rPr>
        <w:t xml:space="preserve"> hjá hesum við at geara íløgurnar, t.</w:t>
      </w:r>
      <w:r w:rsidR="00861201">
        <w:rPr>
          <w:rFonts w:cs="Times New Roman"/>
          <w:szCs w:val="24"/>
        </w:rPr>
        <w:t xml:space="preserve">d. </w:t>
      </w:r>
      <w:r w:rsidRPr="009F2423">
        <w:rPr>
          <w:rFonts w:cs="Times New Roman"/>
          <w:szCs w:val="24"/>
        </w:rPr>
        <w:t>við taka lán til kapitalinnskot</w:t>
      </w:r>
      <w:r w:rsidR="00861201">
        <w:rPr>
          <w:rFonts w:cs="Times New Roman"/>
          <w:szCs w:val="24"/>
        </w:rPr>
        <w:t xml:space="preserve">, </w:t>
      </w:r>
      <w:r w:rsidR="00475251">
        <w:rPr>
          <w:rFonts w:cs="Times New Roman"/>
          <w:szCs w:val="24"/>
        </w:rPr>
        <w:t xml:space="preserve">ella </w:t>
      </w:r>
      <w:r w:rsidR="00861201">
        <w:rPr>
          <w:rFonts w:cs="Times New Roman"/>
          <w:szCs w:val="24"/>
        </w:rPr>
        <w:t>veita veðhal</w:t>
      </w:r>
      <w:r w:rsidR="00831F7E">
        <w:rPr>
          <w:rFonts w:cs="Times New Roman"/>
          <w:szCs w:val="24"/>
        </w:rPr>
        <w:t>d</w:t>
      </w:r>
      <w:r w:rsidR="00861201">
        <w:rPr>
          <w:rFonts w:cs="Times New Roman"/>
          <w:szCs w:val="24"/>
        </w:rPr>
        <w:t xml:space="preserve"> ella aðra trygd</w:t>
      </w:r>
      <w:r w:rsidRPr="009F2423">
        <w:rPr>
          <w:rFonts w:cs="Times New Roman"/>
          <w:szCs w:val="24"/>
        </w:rPr>
        <w:t xml:space="preserve">. </w:t>
      </w:r>
    </w:p>
    <w:p w:rsidR="00861201" w:rsidRDefault="00861201" w:rsidP="009F2423">
      <w:pPr>
        <w:spacing w:after="0"/>
        <w:rPr>
          <w:rFonts w:cs="Times New Roman"/>
          <w:szCs w:val="24"/>
        </w:rPr>
      </w:pPr>
    </w:p>
    <w:p w:rsidR="00831F7E" w:rsidRDefault="009F2423" w:rsidP="009F2423">
      <w:pPr>
        <w:spacing w:after="0"/>
        <w:rPr>
          <w:rFonts w:cs="Times New Roman"/>
          <w:szCs w:val="24"/>
        </w:rPr>
      </w:pPr>
      <w:r w:rsidRPr="009F2423">
        <w:rPr>
          <w:rFonts w:cs="Times New Roman"/>
          <w:szCs w:val="24"/>
        </w:rPr>
        <w:t>Henda avmarking skal byrgja fyri, at OT</w:t>
      </w:r>
      <w:r w:rsidR="00475251">
        <w:rPr>
          <w:rFonts w:cs="Times New Roman"/>
          <w:szCs w:val="24"/>
        </w:rPr>
        <w:t xml:space="preserve"> </w:t>
      </w:r>
      <w:r w:rsidR="00A3189A">
        <w:rPr>
          <w:rFonts w:cs="Times New Roman"/>
          <w:szCs w:val="24"/>
        </w:rPr>
        <w:t>til dømis</w:t>
      </w:r>
      <w:r w:rsidR="00475251">
        <w:rPr>
          <w:rFonts w:cs="Times New Roman"/>
          <w:szCs w:val="24"/>
        </w:rPr>
        <w:t xml:space="preserve"> </w:t>
      </w:r>
      <w:r w:rsidR="00174F5C">
        <w:rPr>
          <w:rFonts w:cs="Times New Roman"/>
          <w:szCs w:val="24"/>
        </w:rPr>
        <w:t>kann láns</w:t>
      </w:r>
      <w:r w:rsidRPr="009F2423">
        <w:rPr>
          <w:rFonts w:cs="Times New Roman"/>
          <w:szCs w:val="24"/>
        </w:rPr>
        <w:t>fíggja kapitalinnskot í tí nýggja</w:t>
      </w:r>
      <w:r w:rsidR="00174F5C">
        <w:rPr>
          <w:rFonts w:cs="Times New Roman"/>
          <w:szCs w:val="24"/>
        </w:rPr>
        <w:t xml:space="preserve"> peningastovnshaldfelagsskapin</w:t>
      </w:r>
      <w:r w:rsidRPr="009F2423">
        <w:rPr>
          <w:rFonts w:cs="Times New Roman"/>
          <w:szCs w:val="24"/>
        </w:rPr>
        <w:t xml:space="preserve"> ella </w:t>
      </w:r>
      <w:r w:rsidR="00861201">
        <w:rPr>
          <w:rFonts w:cs="Times New Roman"/>
          <w:szCs w:val="24"/>
        </w:rPr>
        <w:t xml:space="preserve">Betri </w:t>
      </w:r>
      <w:r w:rsidRPr="009F2423">
        <w:rPr>
          <w:rFonts w:cs="Times New Roman"/>
          <w:szCs w:val="24"/>
        </w:rPr>
        <w:t xml:space="preserve">Banka við at seta partabrøvini í </w:t>
      </w:r>
      <w:r w:rsidR="00861201">
        <w:rPr>
          <w:rFonts w:cs="Times New Roman"/>
          <w:szCs w:val="24"/>
        </w:rPr>
        <w:t>Betri Tryggin</w:t>
      </w:r>
      <w:r w:rsidR="00831F7E">
        <w:rPr>
          <w:rFonts w:cs="Times New Roman"/>
          <w:szCs w:val="24"/>
        </w:rPr>
        <w:t xml:space="preserve">g ella </w:t>
      </w:r>
      <w:r w:rsidRPr="009F2423">
        <w:rPr>
          <w:rFonts w:cs="Times New Roman"/>
          <w:szCs w:val="24"/>
        </w:rPr>
        <w:t>Betri Pensjón í veð</w:t>
      </w:r>
      <w:r w:rsidR="00831F7E">
        <w:rPr>
          <w:rFonts w:cs="Times New Roman"/>
          <w:szCs w:val="24"/>
        </w:rPr>
        <w:t>.</w:t>
      </w:r>
    </w:p>
    <w:p w:rsidR="00831F7E" w:rsidRDefault="00831F7E" w:rsidP="009F2423">
      <w:pPr>
        <w:spacing w:after="0"/>
        <w:rPr>
          <w:rFonts w:cs="Times New Roman"/>
          <w:szCs w:val="24"/>
        </w:rPr>
      </w:pPr>
    </w:p>
    <w:p w:rsidR="00861201" w:rsidRDefault="009F2423" w:rsidP="009F2423">
      <w:pPr>
        <w:spacing w:after="0"/>
        <w:rPr>
          <w:rFonts w:cs="Times New Roman"/>
          <w:szCs w:val="24"/>
        </w:rPr>
      </w:pPr>
      <w:r w:rsidRPr="009F2423">
        <w:rPr>
          <w:rFonts w:cs="Times New Roman"/>
          <w:szCs w:val="24"/>
        </w:rPr>
        <w:t>Harvið verður forða</w:t>
      </w:r>
      <w:r w:rsidR="00174F5C">
        <w:rPr>
          <w:rFonts w:cs="Times New Roman"/>
          <w:szCs w:val="24"/>
        </w:rPr>
        <w:t>ð</w:t>
      </w:r>
      <w:r w:rsidRPr="009F2423">
        <w:rPr>
          <w:rFonts w:cs="Times New Roman"/>
          <w:szCs w:val="24"/>
        </w:rPr>
        <w:t xml:space="preserve"> fyri, at </w:t>
      </w:r>
      <w:r w:rsidR="00861201">
        <w:rPr>
          <w:rFonts w:cs="Times New Roman"/>
          <w:szCs w:val="24"/>
        </w:rPr>
        <w:t xml:space="preserve">OT eisini missir øll síni virðir, sum umvegis haldfelagið eru í rakstrarfeløgunum Betri Trygging og Betri Pensjón, </w:t>
      </w:r>
      <w:r w:rsidR="00EF4CB9">
        <w:rPr>
          <w:rFonts w:cs="Times New Roman"/>
          <w:szCs w:val="24"/>
        </w:rPr>
        <w:t xml:space="preserve">um bankin kollsiglir, </w:t>
      </w:r>
      <w:r w:rsidR="00861201">
        <w:rPr>
          <w:rFonts w:cs="Times New Roman"/>
          <w:szCs w:val="24"/>
        </w:rPr>
        <w:t>og at tryggingarfeløgini fara á aðrar hendur.</w:t>
      </w:r>
    </w:p>
    <w:p w:rsidR="00831F7E" w:rsidRDefault="00831F7E" w:rsidP="009F2423">
      <w:pPr>
        <w:spacing w:after="0"/>
        <w:rPr>
          <w:rFonts w:cs="Times New Roman"/>
          <w:szCs w:val="24"/>
        </w:rPr>
      </w:pPr>
    </w:p>
    <w:p w:rsidR="00176B86" w:rsidRPr="00D42DA6" w:rsidRDefault="00176B86" w:rsidP="009F2423">
      <w:pPr>
        <w:spacing w:after="0"/>
        <w:rPr>
          <w:rFonts w:cs="Times New Roman"/>
          <w:i/>
          <w:szCs w:val="24"/>
        </w:rPr>
      </w:pPr>
      <w:r w:rsidRPr="00D42DA6">
        <w:rPr>
          <w:rFonts w:cs="Times New Roman"/>
          <w:i/>
          <w:szCs w:val="24"/>
        </w:rPr>
        <w:t xml:space="preserve">Kollektivir førleikar í </w:t>
      </w:r>
      <w:r w:rsidR="0041278C">
        <w:rPr>
          <w:rFonts w:cs="Times New Roman"/>
          <w:i/>
          <w:szCs w:val="24"/>
        </w:rPr>
        <w:t>OT</w:t>
      </w:r>
    </w:p>
    <w:p w:rsidR="00475251" w:rsidRPr="00475251" w:rsidRDefault="00176B86" w:rsidP="00475251">
      <w:pPr>
        <w:spacing w:after="0"/>
        <w:rPr>
          <w:rFonts w:cs="Times New Roman"/>
          <w:szCs w:val="24"/>
        </w:rPr>
      </w:pPr>
      <w:r>
        <w:rPr>
          <w:rFonts w:cs="Times New Roman"/>
          <w:szCs w:val="24"/>
        </w:rPr>
        <w:t>Skotið verður upp at áseta, at n</w:t>
      </w:r>
      <w:r w:rsidR="00475251" w:rsidRPr="00475251">
        <w:rPr>
          <w:rFonts w:cs="Times New Roman"/>
          <w:szCs w:val="24"/>
        </w:rPr>
        <w:t xml:space="preserve">evndin í </w:t>
      </w:r>
      <w:r w:rsidR="0041278C">
        <w:rPr>
          <w:rFonts w:cs="Times New Roman"/>
          <w:szCs w:val="24"/>
        </w:rPr>
        <w:t>OT</w:t>
      </w:r>
      <w:r w:rsidR="0041278C" w:rsidRPr="00475251">
        <w:rPr>
          <w:rFonts w:cs="Times New Roman"/>
          <w:szCs w:val="24"/>
        </w:rPr>
        <w:t xml:space="preserve"> </w:t>
      </w:r>
      <w:r w:rsidR="00475251" w:rsidRPr="00475251">
        <w:rPr>
          <w:rFonts w:cs="Times New Roman"/>
          <w:szCs w:val="24"/>
        </w:rPr>
        <w:t>skal tryggja, at nevndarlimirnir hava nóg stóra kollektiva vitan, fakligar førleikar og royndir til at kunna skilja virksemi felagsins og tann váða, sum er tengdur at hesum.</w:t>
      </w:r>
    </w:p>
    <w:p w:rsidR="00475251" w:rsidRDefault="00176B86" w:rsidP="00D42DA6">
      <w:pPr>
        <w:tabs>
          <w:tab w:val="left" w:pos="5430"/>
        </w:tabs>
        <w:spacing w:after="0"/>
        <w:rPr>
          <w:rFonts w:cs="Times New Roman"/>
          <w:szCs w:val="24"/>
        </w:rPr>
      </w:pPr>
      <w:r>
        <w:rPr>
          <w:rFonts w:cs="Times New Roman"/>
          <w:szCs w:val="24"/>
        </w:rPr>
        <w:tab/>
      </w:r>
    </w:p>
    <w:p w:rsidR="00F967E0" w:rsidRPr="00AD3BB7" w:rsidRDefault="00F967E0" w:rsidP="00475251">
      <w:pPr>
        <w:spacing w:after="0"/>
        <w:rPr>
          <w:rFonts w:cs="Times New Roman"/>
          <w:i/>
          <w:szCs w:val="24"/>
        </w:rPr>
      </w:pPr>
      <w:r w:rsidRPr="00AD3BB7">
        <w:rPr>
          <w:rFonts w:cs="Times New Roman"/>
          <w:i/>
          <w:szCs w:val="24"/>
        </w:rPr>
        <w:t>Persónsamanfall</w:t>
      </w:r>
    </w:p>
    <w:p w:rsidR="00F967E0" w:rsidRDefault="00F967E0" w:rsidP="00475251">
      <w:pPr>
        <w:spacing w:after="0"/>
        <w:rPr>
          <w:rFonts w:cs="Times New Roman"/>
          <w:szCs w:val="24"/>
        </w:rPr>
      </w:pPr>
      <w:r>
        <w:rPr>
          <w:rFonts w:cs="Times New Roman"/>
          <w:szCs w:val="24"/>
        </w:rPr>
        <w:t>Avmarkingar verða settar fyri persónsamanfalli í leiðsluni í feløgunum í Betri samtøkuni</w:t>
      </w:r>
      <w:r w:rsidR="00AD3BB7">
        <w:rPr>
          <w:rFonts w:cs="Times New Roman"/>
          <w:szCs w:val="24"/>
        </w:rPr>
        <w:t xml:space="preserve"> soleiðis:</w:t>
      </w:r>
      <w:r>
        <w:rPr>
          <w:rFonts w:cs="Times New Roman"/>
          <w:szCs w:val="24"/>
        </w:rPr>
        <w:t xml:space="preserve"> </w:t>
      </w:r>
    </w:p>
    <w:p w:rsidR="00F967E0" w:rsidRDefault="00F967E0" w:rsidP="00475251">
      <w:pPr>
        <w:spacing w:after="0"/>
        <w:rPr>
          <w:rFonts w:cs="Times New Roman"/>
          <w:szCs w:val="24"/>
        </w:rPr>
      </w:pPr>
    </w:p>
    <w:p w:rsidR="00F967E0" w:rsidRPr="00AD3BB7" w:rsidRDefault="00F967E0" w:rsidP="00AD3BB7">
      <w:pPr>
        <w:pStyle w:val="Listeafsnit"/>
        <w:numPr>
          <w:ilvl w:val="0"/>
          <w:numId w:val="13"/>
        </w:numPr>
        <w:spacing w:after="0"/>
        <w:rPr>
          <w:rFonts w:cs="Times New Roman"/>
          <w:szCs w:val="24"/>
        </w:rPr>
      </w:pPr>
      <w:r w:rsidRPr="00AD3BB7">
        <w:rPr>
          <w:rFonts w:cs="Times New Roman"/>
          <w:szCs w:val="24"/>
        </w:rPr>
        <w:t>Stjóri í OT kann ikki vera nevndarformaður ella stjóri í dóttirfyritøkum hjá OT</w:t>
      </w:r>
      <w:r w:rsidR="00AD3BB7" w:rsidRPr="00AD3BB7">
        <w:rPr>
          <w:rFonts w:cs="Times New Roman"/>
          <w:szCs w:val="24"/>
        </w:rPr>
        <w:t>, t</w:t>
      </w:r>
      <w:r w:rsidR="00EF4CB9">
        <w:rPr>
          <w:rFonts w:cs="Times New Roman"/>
          <w:szCs w:val="24"/>
        </w:rPr>
        <w:t>.</w:t>
      </w:r>
      <w:r w:rsidR="00AD3BB7" w:rsidRPr="00AD3BB7">
        <w:rPr>
          <w:rFonts w:cs="Times New Roman"/>
          <w:szCs w:val="24"/>
        </w:rPr>
        <w:t>e</w:t>
      </w:r>
      <w:r w:rsidR="00EF4CB9">
        <w:rPr>
          <w:rFonts w:cs="Times New Roman"/>
          <w:szCs w:val="24"/>
        </w:rPr>
        <w:t>.</w:t>
      </w:r>
      <w:r w:rsidR="00AD3BB7" w:rsidRPr="00AD3BB7">
        <w:rPr>
          <w:rFonts w:cs="Times New Roman"/>
          <w:szCs w:val="24"/>
        </w:rPr>
        <w:t xml:space="preserve"> haldfyritøkum og undirliggjandi fyritøkum</w:t>
      </w:r>
      <w:r w:rsidRPr="00AD3BB7">
        <w:rPr>
          <w:rFonts w:cs="Times New Roman"/>
          <w:szCs w:val="24"/>
        </w:rPr>
        <w:t xml:space="preserve">. </w:t>
      </w:r>
    </w:p>
    <w:p w:rsidR="00AD3BB7" w:rsidRPr="00AD3BB7" w:rsidRDefault="00AD3BB7" w:rsidP="00AD3BB7">
      <w:pPr>
        <w:pStyle w:val="Listeafsnit"/>
        <w:spacing w:after="0"/>
        <w:rPr>
          <w:rFonts w:cs="Times New Roman"/>
          <w:szCs w:val="24"/>
        </w:rPr>
      </w:pPr>
    </w:p>
    <w:p w:rsidR="00F967E0" w:rsidRPr="00AD3BB7" w:rsidRDefault="00AD3BB7" w:rsidP="00AD3BB7">
      <w:pPr>
        <w:pStyle w:val="Listeafsnit"/>
        <w:numPr>
          <w:ilvl w:val="0"/>
          <w:numId w:val="13"/>
        </w:numPr>
        <w:spacing w:after="0"/>
        <w:rPr>
          <w:rFonts w:cs="Times New Roman"/>
          <w:szCs w:val="24"/>
        </w:rPr>
      </w:pPr>
      <w:r w:rsidRPr="00AD3BB7">
        <w:rPr>
          <w:rFonts w:cs="Times New Roman"/>
          <w:szCs w:val="24"/>
        </w:rPr>
        <w:t>Stjóri í tryggingarhaldfyritøku hjá OT kann ikki verða stjóri í ban</w:t>
      </w:r>
      <w:r w:rsidR="00EF4CB9">
        <w:rPr>
          <w:rFonts w:cs="Times New Roman"/>
          <w:szCs w:val="24"/>
        </w:rPr>
        <w:t>ka</w:t>
      </w:r>
      <w:r w:rsidR="00174F5C">
        <w:rPr>
          <w:rFonts w:cs="Times New Roman"/>
          <w:szCs w:val="24"/>
        </w:rPr>
        <w:t>haldfyritøku</w:t>
      </w:r>
      <w:r w:rsidRPr="00AD3BB7">
        <w:rPr>
          <w:rFonts w:cs="Times New Roman"/>
          <w:szCs w:val="24"/>
        </w:rPr>
        <w:t xml:space="preserve"> hjá OT.</w:t>
      </w:r>
    </w:p>
    <w:p w:rsidR="00AD3BB7" w:rsidRPr="00AD3BB7" w:rsidRDefault="00AD3BB7" w:rsidP="00AD3BB7">
      <w:pPr>
        <w:pStyle w:val="Listeafsnit"/>
        <w:spacing w:after="0"/>
        <w:rPr>
          <w:rFonts w:cs="Times New Roman"/>
          <w:szCs w:val="24"/>
        </w:rPr>
      </w:pPr>
    </w:p>
    <w:p w:rsidR="00AD3BB7" w:rsidRPr="00AD3BB7" w:rsidRDefault="00AD3BB7" w:rsidP="00AD3BB7">
      <w:pPr>
        <w:pStyle w:val="Listeafsnit"/>
        <w:numPr>
          <w:ilvl w:val="0"/>
          <w:numId w:val="13"/>
        </w:numPr>
        <w:spacing w:after="0"/>
        <w:rPr>
          <w:rFonts w:cs="Times New Roman"/>
          <w:szCs w:val="24"/>
        </w:rPr>
      </w:pPr>
      <w:r w:rsidRPr="00AD3BB7">
        <w:rPr>
          <w:rFonts w:cs="Times New Roman"/>
          <w:szCs w:val="24"/>
        </w:rPr>
        <w:t xml:space="preserve">Stjóri í Betri Trygging ella </w:t>
      </w:r>
      <w:r w:rsidR="00EF4CB9">
        <w:rPr>
          <w:rFonts w:cs="Times New Roman"/>
          <w:szCs w:val="24"/>
        </w:rPr>
        <w:t>B</w:t>
      </w:r>
      <w:r w:rsidRPr="00AD3BB7">
        <w:rPr>
          <w:rFonts w:cs="Times New Roman"/>
          <w:szCs w:val="24"/>
        </w:rPr>
        <w:t>etri Pensjón kann ikki vera stjóri í Betri Banka.</w:t>
      </w:r>
    </w:p>
    <w:p w:rsidR="00AD3BB7" w:rsidRPr="00AD3BB7" w:rsidRDefault="00AD3BB7" w:rsidP="00AD3BB7">
      <w:pPr>
        <w:pStyle w:val="Listeafsnit"/>
        <w:spacing w:after="0"/>
        <w:rPr>
          <w:rFonts w:cs="Times New Roman"/>
          <w:szCs w:val="24"/>
        </w:rPr>
      </w:pPr>
    </w:p>
    <w:p w:rsidR="00AD3BB7" w:rsidRDefault="00AD3BB7" w:rsidP="00475251">
      <w:pPr>
        <w:spacing w:after="0"/>
        <w:rPr>
          <w:rFonts w:cs="Times New Roman"/>
          <w:szCs w:val="24"/>
        </w:rPr>
      </w:pPr>
    </w:p>
    <w:p w:rsidR="00AD3BB7" w:rsidRPr="00AD3BB7" w:rsidRDefault="00AD3BB7" w:rsidP="00475251">
      <w:pPr>
        <w:spacing w:after="0"/>
        <w:rPr>
          <w:rFonts w:cs="Times New Roman"/>
          <w:i/>
          <w:szCs w:val="24"/>
        </w:rPr>
      </w:pPr>
      <w:r w:rsidRPr="00AD3BB7">
        <w:rPr>
          <w:rFonts w:cs="Times New Roman"/>
          <w:i/>
          <w:szCs w:val="24"/>
        </w:rPr>
        <w:t>Eftirlit</w:t>
      </w:r>
    </w:p>
    <w:p w:rsidR="00AD3BB7" w:rsidRDefault="00AD3BB7" w:rsidP="00475251">
      <w:pPr>
        <w:spacing w:after="0"/>
        <w:rPr>
          <w:rFonts w:cs="Times New Roman"/>
          <w:szCs w:val="24"/>
        </w:rPr>
      </w:pPr>
      <w:r w:rsidRPr="00AD3BB7">
        <w:rPr>
          <w:rFonts w:cs="Times New Roman"/>
          <w:szCs w:val="24"/>
        </w:rPr>
        <w:t>Tryggingareftirlitið hevur eftirlit við</w:t>
      </w:r>
      <w:r>
        <w:rPr>
          <w:rFonts w:cs="Times New Roman"/>
          <w:szCs w:val="24"/>
        </w:rPr>
        <w:t xml:space="preserve"> at nýggju reglurnar í § 1 b í uppskotinum </w:t>
      </w:r>
      <w:r w:rsidRPr="00AD3BB7">
        <w:rPr>
          <w:rFonts w:cs="Times New Roman"/>
          <w:szCs w:val="24"/>
        </w:rPr>
        <w:t xml:space="preserve">verða hildnar. Ásetingarnar í </w:t>
      </w:r>
      <w:r w:rsidR="00174F5C">
        <w:rPr>
          <w:rFonts w:cs="Times New Roman"/>
          <w:szCs w:val="24"/>
        </w:rPr>
        <w:t>k</w:t>
      </w:r>
      <w:r w:rsidRPr="00AD3BB7">
        <w:rPr>
          <w:rFonts w:cs="Times New Roman"/>
          <w:szCs w:val="24"/>
        </w:rPr>
        <w:t xml:space="preserve">apittul 18 um eftirlit o.a. í løgtingslóg </w:t>
      </w:r>
      <w:r w:rsidR="00EF4CB9">
        <w:rPr>
          <w:rFonts w:cs="Times New Roman"/>
          <w:szCs w:val="24"/>
        </w:rPr>
        <w:t>u</w:t>
      </w:r>
      <w:r w:rsidRPr="00AD3BB7">
        <w:rPr>
          <w:rFonts w:cs="Times New Roman"/>
          <w:szCs w:val="24"/>
        </w:rPr>
        <w:t>m tryggingarvirk</w:t>
      </w:r>
      <w:r w:rsidR="00EF4CB9">
        <w:rPr>
          <w:rFonts w:cs="Times New Roman"/>
          <w:szCs w:val="24"/>
        </w:rPr>
        <w:t>s</w:t>
      </w:r>
      <w:r w:rsidRPr="00AD3BB7">
        <w:rPr>
          <w:rFonts w:cs="Times New Roman"/>
          <w:szCs w:val="24"/>
        </w:rPr>
        <w:t>emi verða nýttar samsvarandi við neyðugum tillagingum.</w:t>
      </w:r>
    </w:p>
    <w:p w:rsidR="008B6B55" w:rsidRPr="00771B25" w:rsidRDefault="008B6B55" w:rsidP="00086403">
      <w:pPr>
        <w:spacing w:after="0"/>
        <w:rPr>
          <w:rFonts w:cs="Times New Roman"/>
          <w:b/>
          <w:szCs w:val="24"/>
        </w:rPr>
      </w:pPr>
    </w:p>
    <w:p w:rsidR="005068D8" w:rsidRPr="00771B25" w:rsidRDefault="005068D8" w:rsidP="00086403">
      <w:pPr>
        <w:spacing w:after="0"/>
        <w:rPr>
          <w:rFonts w:cs="Times New Roman"/>
          <w:b/>
          <w:szCs w:val="24"/>
        </w:rPr>
      </w:pPr>
      <w:r w:rsidRPr="00771B25">
        <w:rPr>
          <w:rFonts w:cs="Times New Roman"/>
          <w:b/>
          <w:szCs w:val="24"/>
        </w:rPr>
        <w:t>1.5. Ummæli og ummælisskjal</w:t>
      </w:r>
    </w:p>
    <w:p w:rsidR="005068D8" w:rsidRPr="00771B25" w:rsidRDefault="005068D8" w:rsidP="00086403">
      <w:pPr>
        <w:spacing w:after="0"/>
        <w:rPr>
          <w:rFonts w:cs="Times New Roman"/>
          <w:szCs w:val="24"/>
        </w:rPr>
      </w:pPr>
    </w:p>
    <w:p w:rsidR="008B6B55" w:rsidRPr="00771B25" w:rsidRDefault="008B6B55">
      <w:pPr>
        <w:rPr>
          <w:rFonts w:cs="Times New Roman"/>
          <w:szCs w:val="24"/>
        </w:rPr>
      </w:pPr>
    </w:p>
    <w:p w:rsidR="005068D8" w:rsidRPr="00771B25" w:rsidRDefault="00457696" w:rsidP="00086403">
      <w:pPr>
        <w:spacing w:after="0"/>
        <w:rPr>
          <w:rFonts w:cs="Times New Roman"/>
          <w:b/>
          <w:szCs w:val="24"/>
        </w:rPr>
      </w:pPr>
      <w:r w:rsidRPr="00771B25">
        <w:rPr>
          <w:rFonts w:cs="Times New Roman"/>
          <w:b/>
          <w:szCs w:val="24"/>
        </w:rPr>
        <w:t>Kapittul 2. Avleiðingarnar av uppskotinum</w:t>
      </w:r>
    </w:p>
    <w:p w:rsidR="00457696" w:rsidRPr="00771B25" w:rsidRDefault="00457696" w:rsidP="00086403">
      <w:pPr>
        <w:spacing w:after="0"/>
        <w:rPr>
          <w:rFonts w:cs="Times New Roman"/>
          <w:szCs w:val="24"/>
        </w:rPr>
      </w:pPr>
    </w:p>
    <w:p w:rsidR="004A2D09" w:rsidRPr="00771B25" w:rsidRDefault="004A2D09" w:rsidP="00086403">
      <w:pPr>
        <w:spacing w:after="0"/>
        <w:rPr>
          <w:rFonts w:cs="Times New Roman"/>
          <w:szCs w:val="24"/>
        </w:rPr>
      </w:pPr>
    </w:p>
    <w:p w:rsidR="00457696" w:rsidRPr="00771B25" w:rsidRDefault="0025385F" w:rsidP="00086403">
      <w:pPr>
        <w:spacing w:after="0"/>
        <w:rPr>
          <w:rFonts w:cs="Times New Roman"/>
          <w:b/>
          <w:szCs w:val="24"/>
        </w:rPr>
      </w:pPr>
      <w:r w:rsidRPr="00771B25">
        <w:rPr>
          <w:rFonts w:cs="Times New Roman"/>
          <w:b/>
          <w:szCs w:val="24"/>
        </w:rPr>
        <w:t>2.1. Fíggjarligar avleiðingarnar fyri land og kommunur</w:t>
      </w:r>
    </w:p>
    <w:p w:rsidR="00E770D7" w:rsidRDefault="00E770D7" w:rsidP="001F739F">
      <w:pPr>
        <w:spacing w:after="0"/>
        <w:jc w:val="both"/>
        <w:rPr>
          <w:rFonts w:cs="Times New Roman"/>
          <w:szCs w:val="24"/>
        </w:rPr>
      </w:pPr>
      <w:r>
        <w:rPr>
          <w:rFonts w:cs="Times New Roman"/>
          <w:szCs w:val="24"/>
        </w:rPr>
        <w:t>Uppskotið hevur ikki fíggjarligar avleiðingar fyri land og kommunur.</w:t>
      </w:r>
    </w:p>
    <w:p w:rsidR="00E770D7" w:rsidRDefault="00E770D7" w:rsidP="001F739F">
      <w:pPr>
        <w:spacing w:after="0"/>
        <w:jc w:val="both"/>
        <w:rPr>
          <w:rFonts w:cs="Times New Roman"/>
          <w:szCs w:val="24"/>
        </w:rPr>
      </w:pPr>
    </w:p>
    <w:p w:rsidR="0025385F" w:rsidRPr="00771B25" w:rsidRDefault="0025385F" w:rsidP="001F739F">
      <w:pPr>
        <w:spacing w:after="0"/>
        <w:jc w:val="both"/>
        <w:rPr>
          <w:rFonts w:cs="Times New Roman"/>
          <w:szCs w:val="24"/>
        </w:rPr>
      </w:pPr>
    </w:p>
    <w:p w:rsidR="0025385F" w:rsidRPr="00771B25" w:rsidRDefault="0025385F" w:rsidP="00086403">
      <w:pPr>
        <w:spacing w:after="0"/>
        <w:rPr>
          <w:rFonts w:cs="Times New Roman"/>
          <w:b/>
          <w:szCs w:val="24"/>
        </w:rPr>
      </w:pPr>
      <w:r w:rsidRPr="00771B25">
        <w:rPr>
          <w:rFonts w:cs="Times New Roman"/>
          <w:b/>
          <w:szCs w:val="24"/>
        </w:rPr>
        <w:t>2.2. Umsitinga</w:t>
      </w:r>
      <w:r w:rsidR="00EF4CB9">
        <w:rPr>
          <w:rFonts w:cs="Times New Roman"/>
          <w:b/>
          <w:szCs w:val="24"/>
        </w:rPr>
        <w:t>r</w:t>
      </w:r>
      <w:r w:rsidRPr="00771B25">
        <w:rPr>
          <w:rFonts w:cs="Times New Roman"/>
          <w:b/>
          <w:szCs w:val="24"/>
        </w:rPr>
        <w:t>ligar avleiðingar fyri land og kommunur</w:t>
      </w:r>
    </w:p>
    <w:p w:rsidR="00E770D7" w:rsidRDefault="00E770D7" w:rsidP="000B681F">
      <w:pPr>
        <w:spacing w:after="0"/>
        <w:jc w:val="both"/>
        <w:rPr>
          <w:rFonts w:cs="Times New Roman"/>
          <w:szCs w:val="24"/>
        </w:rPr>
      </w:pPr>
      <w:r>
        <w:rPr>
          <w:rFonts w:cs="Times New Roman"/>
          <w:szCs w:val="24"/>
        </w:rPr>
        <w:t>Uppbýtið í eitt tryggingarhaldfelag og eitt bankahaldfelag hevur við sær, at Tryg</w:t>
      </w:r>
      <w:r w:rsidR="00EF4CB9">
        <w:rPr>
          <w:rFonts w:cs="Times New Roman"/>
          <w:szCs w:val="24"/>
        </w:rPr>
        <w:t>g</w:t>
      </w:r>
      <w:r>
        <w:rPr>
          <w:rFonts w:cs="Times New Roman"/>
          <w:szCs w:val="24"/>
        </w:rPr>
        <w:t>ingareftirlitið umframt at hava eftirlit við tryggingarfeløgunum eisini skal hava samtøkuefti</w:t>
      </w:r>
      <w:r w:rsidR="008C2493">
        <w:rPr>
          <w:rFonts w:cs="Times New Roman"/>
          <w:szCs w:val="24"/>
        </w:rPr>
        <w:t>rlit við tryggingarhaldfelagnum</w:t>
      </w:r>
      <w:r>
        <w:rPr>
          <w:rFonts w:cs="Times New Roman"/>
          <w:szCs w:val="24"/>
        </w:rPr>
        <w:t xml:space="preserve"> og </w:t>
      </w:r>
      <w:r w:rsidR="008C2493">
        <w:rPr>
          <w:rFonts w:cs="Times New Roman"/>
          <w:szCs w:val="24"/>
        </w:rPr>
        <w:t xml:space="preserve">hava </w:t>
      </w:r>
      <w:r w:rsidR="00EF4CB9">
        <w:rPr>
          <w:rFonts w:cs="Times New Roman"/>
          <w:szCs w:val="24"/>
        </w:rPr>
        <w:t xml:space="preserve">eftirlit við </w:t>
      </w:r>
      <w:r>
        <w:rPr>
          <w:rFonts w:cs="Times New Roman"/>
          <w:szCs w:val="24"/>
        </w:rPr>
        <w:t>at OT heldur reglurnar, sum ásettar eru eftir uppskotinum. Hetta eftirli</w:t>
      </w:r>
      <w:r w:rsidR="00EF4CB9">
        <w:rPr>
          <w:rFonts w:cs="Times New Roman"/>
          <w:szCs w:val="24"/>
        </w:rPr>
        <w:t>t</w:t>
      </w:r>
      <w:r>
        <w:rPr>
          <w:rFonts w:cs="Times New Roman"/>
          <w:szCs w:val="24"/>
        </w:rPr>
        <w:t xml:space="preserve"> kann vera framt innanfyri verandi karmar.</w:t>
      </w:r>
    </w:p>
    <w:p w:rsidR="00E770D7" w:rsidRDefault="00E770D7" w:rsidP="000B681F">
      <w:pPr>
        <w:spacing w:after="0"/>
        <w:jc w:val="both"/>
        <w:rPr>
          <w:rFonts w:cs="Times New Roman"/>
          <w:szCs w:val="24"/>
        </w:rPr>
      </w:pPr>
    </w:p>
    <w:p w:rsidR="00746B18" w:rsidRPr="00771B25" w:rsidRDefault="00746B18" w:rsidP="000B681F">
      <w:pPr>
        <w:spacing w:after="0"/>
        <w:jc w:val="both"/>
        <w:rPr>
          <w:rFonts w:cs="Times New Roman"/>
          <w:szCs w:val="24"/>
        </w:rPr>
      </w:pPr>
    </w:p>
    <w:p w:rsidR="00746B18" w:rsidRPr="00771B25" w:rsidRDefault="00746B18" w:rsidP="00746B18">
      <w:pPr>
        <w:spacing w:after="0"/>
        <w:rPr>
          <w:rFonts w:cs="Times New Roman"/>
          <w:b/>
          <w:szCs w:val="24"/>
        </w:rPr>
      </w:pPr>
      <w:r w:rsidRPr="00771B25">
        <w:rPr>
          <w:rFonts w:cs="Times New Roman"/>
          <w:b/>
          <w:szCs w:val="24"/>
        </w:rPr>
        <w:lastRenderedPageBreak/>
        <w:t xml:space="preserve">2.3. </w:t>
      </w:r>
      <w:bookmarkStart w:id="1" w:name="_Toc390176934"/>
      <w:bookmarkStart w:id="2" w:name="_Toc411264075"/>
      <w:r w:rsidRPr="00771B25">
        <w:rPr>
          <w:rFonts w:cs="Times New Roman"/>
          <w:b/>
          <w:szCs w:val="24"/>
        </w:rPr>
        <w:t>Avleiðingar fyri vinnuna</w:t>
      </w:r>
      <w:bookmarkEnd w:id="1"/>
      <w:bookmarkEnd w:id="2"/>
    </w:p>
    <w:p w:rsidR="00E770D7" w:rsidRDefault="00E770D7" w:rsidP="000B681F">
      <w:pPr>
        <w:spacing w:after="0"/>
        <w:jc w:val="both"/>
        <w:rPr>
          <w:rFonts w:cs="Times New Roman"/>
          <w:szCs w:val="24"/>
        </w:rPr>
      </w:pPr>
      <w:r w:rsidRPr="00E770D7">
        <w:rPr>
          <w:rFonts w:cs="Times New Roman"/>
          <w:szCs w:val="24"/>
        </w:rPr>
        <w:t>Talan verður um stovningarútreiðs</w:t>
      </w:r>
      <w:r w:rsidR="0041278C">
        <w:rPr>
          <w:rFonts w:cs="Times New Roman"/>
          <w:szCs w:val="24"/>
        </w:rPr>
        <w:t>l</w:t>
      </w:r>
      <w:r w:rsidRPr="00E770D7">
        <w:rPr>
          <w:rFonts w:cs="Times New Roman"/>
          <w:szCs w:val="24"/>
        </w:rPr>
        <w:t xml:space="preserve">ur </w:t>
      </w:r>
      <w:r>
        <w:rPr>
          <w:rFonts w:cs="Times New Roman"/>
          <w:szCs w:val="24"/>
        </w:rPr>
        <w:t xml:space="preserve">hjá Betri samtakinum </w:t>
      </w:r>
      <w:r w:rsidRPr="00E770D7">
        <w:rPr>
          <w:rFonts w:cs="Times New Roman"/>
          <w:szCs w:val="24"/>
        </w:rPr>
        <w:t>í sambandi við, at nýggjur haldfelagsskapur verður stovnaður.</w:t>
      </w:r>
    </w:p>
    <w:p w:rsidR="00E770D7" w:rsidRDefault="00E770D7" w:rsidP="000B681F">
      <w:pPr>
        <w:spacing w:after="0"/>
        <w:jc w:val="both"/>
        <w:rPr>
          <w:rFonts w:cs="Times New Roman"/>
          <w:szCs w:val="24"/>
        </w:rPr>
      </w:pPr>
    </w:p>
    <w:p w:rsidR="00E770D7" w:rsidRDefault="00E770D7" w:rsidP="000B681F">
      <w:pPr>
        <w:spacing w:after="0"/>
        <w:jc w:val="both"/>
        <w:rPr>
          <w:rFonts w:cs="Times New Roman"/>
          <w:szCs w:val="24"/>
        </w:rPr>
      </w:pPr>
      <w:r w:rsidRPr="00E770D7">
        <w:rPr>
          <w:rFonts w:cs="Times New Roman"/>
          <w:szCs w:val="24"/>
        </w:rPr>
        <w:t>Betri samtakið hevur gjørt vart við, at tað er eitt skattaaktiv í Betri P/F, sum samtakið ikki fær nýtt, um kravt verður, at  tryggingarparturin og bankaparturin skulu vera í hvør sínum haldfelagsskapi. Hvussu stórar upphæddir tað snýr seg um, sum samtakið ikki fær nýtt, valdast m.a. eisini hvussu Betri samtakið velur at tillaga bygnaðin til nýggju</w:t>
      </w:r>
      <w:r w:rsidR="00EF4CB9">
        <w:rPr>
          <w:rFonts w:cs="Times New Roman"/>
          <w:szCs w:val="24"/>
        </w:rPr>
        <w:t xml:space="preserve"> lógarkrøvini.</w:t>
      </w:r>
    </w:p>
    <w:p w:rsidR="00746B18" w:rsidRPr="00771B25" w:rsidRDefault="00746B18" w:rsidP="000B681F">
      <w:pPr>
        <w:spacing w:after="0"/>
        <w:jc w:val="both"/>
        <w:rPr>
          <w:rFonts w:cs="Times New Roman"/>
          <w:b/>
          <w:szCs w:val="24"/>
        </w:rPr>
      </w:pPr>
    </w:p>
    <w:p w:rsidR="00746B18" w:rsidRPr="00771B25" w:rsidRDefault="00D54D84" w:rsidP="00746B18">
      <w:pPr>
        <w:spacing w:after="0"/>
        <w:rPr>
          <w:rFonts w:cs="Times New Roman"/>
          <w:b/>
          <w:szCs w:val="24"/>
        </w:rPr>
      </w:pPr>
      <w:r w:rsidRPr="00771B25">
        <w:rPr>
          <w:rFonts w:cs="Times New Roman"/>
          <w:b/>
          <w:szCs w:val="24"/>
        </w:rPr>
        <w:t xml:space="preserve">2.4. </w:t>
      </w:r>
      <w:bookmarkStart w:id="3" w:name="_Toc390176935"/>
      <w:bookmarkStart w:id="4" w:name="_Toc411264076"/>
      <w:r w:rsidRPr="00771B25">
        <w:rPr>
          <w:rFonts w:cs="Times New Roman"/>
          <w:b/>
          <w:szCs w:val="24"/>
        </w:rPr>
        <w:t>Avleiðingar fyri umhvørvið</w:t>
      </w:r>
      <w:bookmarkEnd w:id="3"/>
      <w:bookmarkEnd w:id="4"/>
    </w:p>
    <w:p w:rsidR="007C1C04" w:rsidRDefault="003928E0" w:rsidP="000B681F">
      <w:pPr>
        <w:spacing w:after="0"/>
        <w:jc w:val="both"/>
        <w:rPr>
          <w:rFonts w:cs="Times New Roman"/>
          <w:szCs w:val="24"/>
        </w:rPr>
      </w:pPr>
      <w:r>
        <w:rPr>
          <w:rFonts w:cs="Times New Roman"/>
          <w:szCs w:val="24"/>
        </w:rPr>
        <w:t>Uppskotið hevur ikki avleiðingar fyri umhvørvi.</w:t>
      </w:r>
    </w:p>
    <w:p w:rsidR="003928E0" w:rsidRDefault="003928E0" w:rsidP="000B681F">
      <w:pPr>
        <w:spacing w:after="0"/>
        <w:jc w:val="both"/>
        <w:rPr>
          <w:rFonts w:cs="Times New Roman"/>
          <w:szCs w:val="24"/>
        </w:rPr>
      </w:pPr>
    </w:p>
    <w:p w:rsidR="00304EDA" w:rsidRPr="00771B25" w:rsidRDefault="00304EDA" w:rsidP="000B681F">
      <w:pPr>
        <w:spacing w:after="0"/>
        <w:jc w:val="both"/>
        <w:rPr>
          <w:rFonts w:cs="Times New Roman"/>
          <w:szCs w:val="24"/>
        </w:rPr>
      </w:pPr>
    </w:p>
    <w:p w:rsidR="00304EDA" w:rsidRPr="00771B25" w:rsidRDefault="00C16F07" w:rsidP="005061E4">
      <w:pPr>
        <w:spacing w:after="0"/>
        <w:rPr>
          <w:rFonts w:cs="Times New Roman"/>
          <w:b/>
          <w:szCs w:val="24"/>
        </w:rPr>
      </w:pPr>
      <w:r w:rsidRPr="00771B25">
        <w:rPr>
          <w:rFonts w:cs="Times New Roman"/>
          <w:b/>
          <w:szCs w:val="24"/>
        </w:rPr>
        <w:t>2.5. Avleiðingar fyri serstøk øki í landinum</w:t>
      </w:r>
    </w:p>
    <w:p w:rsidR="003928E0" w:rsidRDefault="003928E0" w:rsidP="0045456D">
      <w:pPr>
        <w:spacing w:after="0"/>
        <w:jc w:val="both"/>
        <w:rPr>
          <w:rFonts w:cs="Times New Roman"/>
          <w:szCs w:val="24"/>
        </w:rPr>
      </w:pPr>
      <w:r>
        <w:rPr>
          <w:rFonts w:cs="Times New Roman"/>
          <w:szCs w:val="24"/>
        </w:rPr>
        <w:t>Uppskotið hevur ikki avleiðingar fyri serstøk øki í landinum.</w:t>
      </w:r>
    </w:p>
    <w:p w:rsidR="003928E0" w:rsidRDefault="003928E0" w:rsidP="0045456D">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2.6. Avleiðingar fyri ávísar samfelagsbólkar ella felagsskapir</w:t>
      </w:r>
    </w:p>
    <w:p w:rsidR="003928E0" w:rsidRPr="003928E0" w:rsidRDefault="003928E0" w:rsidP="003928E0">
      <w:pPr>
        <w:rPr>
          <w:rFonts w:cs="Times New Roman"/>
          <w:szCs w:val="24"/>
        </w:rPr>
      </w:pPr>
      <w:r>
        <w:rPr>
          <w:rFonts w:cs="Times New Roman"/>
          <w:szCs w:val="24"/>
        </w:rPr>
        <w:t xml:space="preserve">Uppskotið hevur ikki avleiðingar fyri </w:t>
      </w:r>
      <w:r w:rsidRPr="003928E0">
        <w:rPr>
          <w:rFonts w:cs="Times New Roman"/>
          <w:szCs w:val="24"/>
        </w:rPr>
        <w:t>ávísar samfelagsbólkar ella felagsskapir</w:t>
      </w:r>
      <w:r w:rsidR="008C2493">
        <w:rPr>
          <w:rFonts w:cs="Times New Roman"/>
          <w:szCs w:val="24"/>
        </w:rPr>
        <w:t>.</w:t>
      </w:r>
    </w:p>
    <w:p w:rsidR="003928E0" w:rsidRDefault="003928E0" w:rsidP="00370861">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 xml:space="preserve">2.7. </w:t>
      </w:r>
      <w:r w:rsidR="00A54D65" w:rsidRPr="00771B25">
        <w:rPr>
          <w:rFonts w:cs="Times New Roman"/>
          <w:b/>
          <w:szCs w:val="24"/>
        </w:rPr>
        <w:t>Millumtjóðasáttmálar á økinum</w:t>
      </w:r>
    </w:p>
    <w:p w:rsidR="003928E0" w:rsidRPr="003928E0" w:rsidRDefault="003928E0" w:rsidP="003928E0">
      <w:pPr>
        <w:rPr>
          <w:rFonts w:cs="Times New Roman"/>
          <w:szCs w:val="24"/>
        </w:rPr>
      </w:pPr>
      <w:r>
        <w:rPr>
          <w:rFonts w:cs="Times New Roman"/>
          <w:szCs w:val="24"/>
        </w:rPr>
        <w:t>Uppskotið hevur ikki avleiðingar fyri m</w:t>
      </w:r>
      <w:r w:rsidRPr="003928E0">
        <w:rPr>
          <w:rFonts w:cs="Times New Roman"/>
          <w:szCs w:val="24"/>
        </w:rPr>
        <w:t>illumtjóðasáttmálar á økinum</w:t>
      </w:r>
      <w:r w:rsidR="008C2493">
        <w:rPr>
          <w:rFonts w:cs="Times New Roman"/>
          <w:szCs w:val="24"/>
        </w:rPr>
        <w:t>.</w:t>
      </w:r>
    </w:p>
    <w:p w:rsidR="003928E0" w:rsidRPr="00771B25" w:rsidRDefault="003928E0" w:rsidP="008F74CF">
      <w:pPr>
        <w:spacing w:after="0"/>
        <w:jc w:val="both"/>
        <w:rPr>
          <w:rFonts w:cs="Times New Roman"/>
          <w:szCs w:val="24"/>
        </w:rPr>
      </w:pPr>
    </w:p>
    <w:p w:rsidR="00A54D65" w:rsidRPr="00771B25" w:rsidRDefault="00A54D65" w:rsidP="003928E0">
      <w:pPr>
        <w:tabs>
          <w:tab w:val="left" w:pos="4590"/>
        </w:tabs>
        <w:spacing w:after="0"/>
        <w:rPr>
          <w:rFonts w:cs="Times New Roman"/>
          <w:b/>
          <w:szCs w:val="24"/>
        </w:rPr>
      </w:pPr>
      <w:r w:rsidRPr="00771B25">
        <w:rPr>
          <w:rFonts w:cs="Times New Roman"/>
          <w:b/>
          <w:szCs w:val="24"/>
        </w:rPr>
        <w:t>2.8. Tvørgangandi millumtjóðasáttmálar</w:t>
      </w:r>
      <w:r w:rsidR="003928E0">
        <w:rPr>
          <w:rFonts w:cs="Times New Roman"/>
          <w:b/>
          <w:szCs w:val="24"/>
        </w:rPr>
        <w:tab/>
      </w:r>
    </w:p>
    <w:p w:rsidR="003928E0" w:rsidRDefault="003928E0" w:rsidP="003928E0">
      <w:pPr>
        <w:tabs>
          <w:tab w:val="left" w:pos="2740"/>
        </w:tabs>
        <w:spacing w:after="0"/>
        <w:jc w:val="both"/>
        <w:rPr>
          <w:rFonts w:cs="Times New Roman"/>
          <w:szCs w:val="24"/>
        </w:rPr>
      </w:pPr>
      <w:r>
        <w:rPr>
          <w:rFonts w:cs="Times New Roman"/>
          <w:szCs w:val="24"/>
        </w:rPr>
        <w:t>Uppskotið hevur ikki avleiðingar fyri t</w:t>
      </w:r>
      <w:r w:rsidRPr="003928E0">
        <w:rPr>
          <w:rFonts w:cs="Times New Roman"/>
          <w:szCs w:val="24"/>
        </w:rPr>
        <w:t>vørgangandi millumtjóðasáttmálar</w:t>
      </w:r>
      <w:r w:rsidR="008C2493">
        <w:rPr>
          <w:rFonts w:cs="Times New Roman"/>
          <w:szCs w:val="24"/>
        </w:rPr>
        <w:t>.</w:t>
      </w:r>
      <w:r w:rsidRPr="003928E0">
        <w:rPr>
          <w:rFonts w:cs="Times New Roman"/>
          <w:szCs w:val="24"/>
        </w:rPr>
        <w:tab/>
      </w:r>
      <w:r>
        <w:rPr>
          <w:rFonts w:cs="Times New Roman"/>
          <w:szCs w:val="24"/>
        </w:rPr>
        <w:tab/>
      </w:r>
    </w:p>
    <w:p w:rsidR="009C0ABB" w:rsidRDefault="009C0ABB" w:rsidP="00000BEA">
      <w:pPr>
        <w:spacing w:after="0"/>
        <w:jc w:val="both"/>
        <w:rPr>
          <w:rFonts w:cs="Times New Roman"/>
          <w:szCs w:val="24"/>
        </w:rPr>
      </w:pPr>
    </w:p>
    <w:p w:rsidR="003928E0" w:rsidRPr="00771B25" w:rsidRDefault="003928E0" w:rsidP="00000BEA">
      <w:pPr>
        <w:spacing w:after="0"/>
        <w:jc w:val="both"/>
        <w:rPr>
          <w:rFonts w:cs="Times New Roman"/>
          <w:szCs w:val="24"/>
        </w:rPr>
      </w:pPr>
    </w:p>
    <w:p w:rsidR="009C0ABB" w:rsidRPr="00771B25" w:rsidRDefault="009C0ABB" w:rsidP="00A54D65">
      <w:pPr>
        <w:spacing w:after="0"/>
        <w:rPr>
          <w:rFonts w:cs="Times New Roman"/>
          <w:b/>
          <w:szCs w:val="24"/>
        </w:rPr>
      </w:pPr>
      <w:r w:rsidRPr="00771B25">
        <w:rPr>
          <w:rFonts w:cs="Times New Roman"/>
          <w:b/>
          <w:szCs w:val="24"/>
        </w:rPr>
        <w:t>2.9. Marknaforðingar</w:t>
      </w:r>
    </w:p>
    <w:p w:rsidR="003928E0" w:rsidRDefault="003928E0" w:rsidP="003928E0">
      <w:pPr>
        <w:tabs>
          <w:tab w:val="left" w:pos="2760"/>
        </w:tabs>
        <w:spacing w:after="0"/>
        <w:jc w:val="both"/>
        <w:rPr>
          <w:rFonts w:cs="Times New Roman"/>
          <w:szCs w:val="24"/>
        </w:rPr>
      </w:pPr>
      <w:r>
        <w:rPr>
          <w:rFonts w:cs="Times New Roman"/>
          <w:szCs w:val="24"/>
        </w:rPr>
        <w:t xml:space="preserve">Uppskotið elvur ikki til </w:t>
      </w:r>
      <w:r w:rsidR="0041278C">
        <w:rPr>
          <w:rFonts w:cs="Times New Roman"/>
          <w:szCs w:val="24"/>
        </w:rPr>
        <w:t>marknaða</w:t>
      </w:r>
      <w:r>
        <w:rPr>
          <w:rFonts w:cs="Times New Roman"/>
          <w:szCs w:val="24"/>
        </w:rPr>
        <w:t xml:space="preserve">forðingar. </w:t>
      </w:r>
    </w:p>
    <w:p w:rsidR="003928E0" w:rsidRDefault="003928E0" w:rsidP="003928E0">
      <w:pPr>
        <w:tabs>
          <w:tab w:val="left" w:pos="2760"/>
        </w:tabs>
        <w:spacing w:after="0"/>
        <w:jc w:val="both"/>
        <w:rPr>
          <w:rFonts w:cs="Times New Roman"/>
          <w:szCs w:val="24"/>
        </w:rPr>
      </w:pPr>
      <w:r>
        <w:rPr>
          <w:rFonts w:cs="Times New Roman"/>
          <w:szCs w:val="24"/>
        </w:rPr>
        <w:tab/>
      </w:r>
    </w:p>
    <w:p w:rsidR="009C0ABB" w:rsidRPr="00771B25" w:rsidRDefault="009C0ABB" w:rsidP="00A54D65">
      <w:pPr>
        <w:spacing w:after="0"/>
        <w:rPr>
          <w:rFonts w:cs="Times New Roman"/>
          <w:b/>
          <w:szCs w:val="24"/>
        </w:rPr>
      </w:pPr>
      <w:r w:rsidRPr="00771B25">
        <w:rPr>
          <w:rFonts w:cs="Times New Roman"/>
          <w:b/>
          <w:szCs w:val="24"/>
        </w:rPr>
        <w:t>2.10. Revsing, útpanting, sektir ella onnur størri inntriv</w:t>
      </w:r>
    </w:p>
    <w:p w:rsidR="003928E0" w:rsidRDefault="003928E0" w:rsidP="00566880">
      <w:pPr>
        <w:spacing w:after="0"/>
        <w:jc w:val="both"/>
        <w:rPr>
          <w:rFonts w:cs="Times New Roman"/>
          <w:szCs w:val="24"/>
        </w:rPr>
      </w:pPr>
      <w:r>
        <w:rPr>
          <w:rFonts w:cs="Times New Roman"/>
          <w:szCs w:val="24"/>
        </w:rPr>
        <w:t>Ásetingar eru um revsing fyri at halda lógini uppi.</w:t>
      </w:r>
    </w:p>
    <w:p w:rsidR="003928E0" w:rsidRDefault="003928E0" w:rsidP="00566880">
      <w:pPr>
        <w:spacing w:after="0"/>
        <w:jc w:val="both"/>
        <w:rPr>
          <w:rFonts w:cs="Times New Roman"/>
          <w:szCs w:val="24"/>
        </w:rPr>
      </w:pPr>
    </w:p>
    <w:p w:rsidR="001F6EAF" w:rsidRPr="00771B25" w:rsidRDefault="00EC2245" w:rsidP="009C0ABB">
      <w:pPr>
        <w:spacing w:after="0"/>
        <w:rPr>
          <w:rFonts w:cs="Times New Roman"/>
          <w:b/>
          <w:szCs w:val="24"/>
        </w:rPr>
      </w:pPr>
      <w:r w:rsidRPr="00771B25">
        <w:rPr>
          <w:rFonts w:cs="Times New Roman"/>
          <w:b/>
          <w:szCs w:val="24"/>
        </w:rPr>
        <w:t>2.11. Skattir og avgjøld</w:t>
      </w:r>
    </w:p>
    <w:p w:rsidR="003928E0" w:rsidRDefault="003928E0" w:rsidP="00A17140">
      <w:pPr>
        <w:spacing w:after="0"/>
        <w:jc w:val="both"/>
        <w:rPr>
          <w:rFonts w:cs="Times New Roman"/>
          <w:szCs w:val="24"/>
        </w:rPr>
      </w:pPr>
      <w:r>
        <w:rPr>
          <w:rFonts w:cs="Times New Roman"/>
          <w:szCs w:val="24"/>
        </w:rPr>
        <w:t>Ongar ásetingar eru um skattir og avgjøld.</w:t>
      </w:r>
    </w:p>
    <w:p w:rsidR="003928E0" w:rsidRDefault="003928E0" w:rsidP="00A17140">
      <w:pPr>
        <w:spacing w:after="0"/>
        <w:jc w:val="both"/>
        <w:rPr>
          <w:rFonts w:cs="Times New Roman"/>
          <w:szCs w:val="24"/>
        </w:rPr>
      </w:pPr>
    </w:p>
    <w:p w:rsidR="00EC2245" w:rsidRPr="00771B25" w:rsidRDefault="00EC2245" w:rsidP="00A54D65">
      <w:pPr>
        <w:spacing w:after="0"/>
        <w:rPr>
          <w:rFonts w:cs="Times New Roman"/>
          <w:b/>
          <w:szCs w:val="24"/>
        </w:rPr>
      </w:pPr>
      <w:r w:rsidRPr="00771B25">
        <w:rPr>
          <w:rFonts w:cs="Times New Roman"/>
          <w:b/>
          <w:szCs w:val="24"/>
        </w:rPr>
        <w:t>2.12. Gjøld</w:t>
      </w:r>
    </w:p>
    <w:p w:rsidR="003928E0" w:rsidRDefault="003928E0" w:rsidP="006642ED">
      <w:pPr>
        <w:spacing w:after="0"/>
        <w:jc w:val="both"/>
        <w:rPr>
          <w:rFonts w:cs="Times New Roman"/>
          <w:szCs w:val="24"/>
        </w:rPr>
      </w:pPr>
      <w:r>
        <w:rPr>
          <w:rFonts w:cs="Times New Roman"/>
          <w:szCs w:val="24"/>
        </w:rPr>
        <w:t>Ongar ásetingar eru um gjø</w:t>
      </w:r>
      <w:r w:rsidR="00EF4CB9">
        <w:rPr>
          <w:rFonts w:cs="Times New Roman"/>
          <w:szCs w:val="24"/>
        </w:rPr>
        <w:t>l</w:t>
      </w:r>
      <w:r>
        <w:rPr>
          <w:rFonts w:cs="Times New Roman"/>
          <w:szCs w:val="24"/>
        </w:rPr>
        <w:t>d.</w:t>
      </w:r>
    </w:p>
    <w:p w:rsidR="003928E0" w:rsidRDefault="003928E0" w:rsidP="006642ED">
      <w:pPr>
        <w:spacing w:after="0"/>
        <w:jc w:val="both"/>
        <w:rPr>
          <w:rFonts w:cs="Times New Roman"/>
          <w:szCs w:val="24"/>
        </w:rPr>
      </w:pPr>
    </w:p>
    <w:p w:rsidR="00EC2245" w:rsidRPr="00771B25" w:rsidRDefault="00B40416" w:rsidP="00A54D65">
      <w:pPr>
        <w:spacing w:after="0"/>
        <w:rPr>
          <w:rFonts w:cs="Times New Roman"/>
          <w:b/>
          <w:szCs w:val="24"/>
        </w:rPr>
      </w:pPr>
      <w:r w:rsidRPr="00771B25">
        <w:rPr>
          <w:rFonts w:cs="Times New Roman"/>
          <w:b/>
          <w:szCs w:val="24"/>
        </w:rPr>
        <w:t>2.13. Áleggur lógaruppskotið fólki skyldur?</w:t>
      </w:r>
    </w:p>
    <w:p w:rsidR="003928E0" w:rsidRDefault="003928E0" w:rsidP="00656DB8">
      <w:pPr>
        <w:spacing w:after="0"/>
        <w:jc w:val="both"/>
        <w:rPr>
          <w:rFonts w:cs="Times New Roman"/>
          <w:szCs w:val="24"/>
        </w:rPr>
      </w:pPr>
      <w:r>
        <w:rPr>
          <w:rFonts w:cs="Times New Roman"/>
          <w:szCs w:val="24"/>
        </w:rPr>
        <w:t>Lógaruppskotið áleggur leiðsluni í feløgum í samtakinum Betri upplýsingarskyldur mótvegis Tryggingareftirlitinum.</w:t>
      </w:r>
    </w:p>
    <w:p w:rsidR="003928E0" w:rsidRDefault="003928E0" w:rsidP="00A54D65">
      <w:pPr>
        <w:spacing w:after="0"/>
        <w:rPr>
          <w:rFonts w:cs="Times New Roman"/>
          <w:b/>
          <w:szCs w:val="24"/>
        </w:rPr>
      </w:pPr>
    </w:p>
    <w:p w:rsidR="00B40416" w:rsidRPr="00771B25" w:rsidRDefault="00B40416" w:rsidP="00A54D65">
      <w:pPr>
        <w:spacing w:after="0"/>
        <w:rPr>
          <w:rFonts w:cs="Times New Roman"/>
          <w:b/>
          <w:szCs w:val="24"/>
        </w:rPr>
      </w:pPr>
      <w:r w:rsidRPr="00771B25">
        <w:rPr>
          <w:rFonts w:cs="Times New Roman"/>
          <w:b/>
          <w:szCs w:val="24"/>
        </w:rPr>
        <w:t>2.14. Leggur lógaruppskotið heimildir til landsstýrismannin, ein annan enn landsstýrismannin ella til kommunur?</w:t>
      </w:r>
    </w:p>
    <w:p w:rsidR="00B65189" w:rsidRDefault="00B65189" w:rsidP="000F5064">
      <w:pPr>
        <w:spacing w:after="0"/>
        <w:jc w:val="both"/>
        <w:rPr>
          <w:rFonts w:cs="Times New Roman"/>
          <w:szCs w:val="24"/>
        </w:rPr>
      </w:pPr>
      <w:r>
        <w:rPr>
          <w:rFonts w:cs="Times New Roman"/>
          <w:szCs w:val="24"/>
        </w:rPr>
        <w:t>Uppskotið leggur ikki hei</w:t>
      </w:r>
      <w:r w:rsidR="00EF4CB9">
        <w:rPr>
          <w:rFonts w:cs="Times New Roman"/>
          <w:szCs w:val="24"/>
        </w:rPr>
        <w:t>mi</w:t>
      </w:r>
      <w:r>
        <w:rPr>
          <w:rFonts w:cs="Times New Roman"/>
          <w:szCs w:val="24"/>
        </w:rPr>
        <w:t>ldir til landsstýrismannin, ein annan landsstýrismann ella kommunur.</w:t>
      </w:r>
    </w:p>
    <w:p w:rsidR="00B65189" w:rsidRDefault="00B65189" w:rsidP="000F5064">
      <w:pPr>
        <w:spacing w:after="0"/>
        <w:jc w:val="both"/>
        <w:rPr>
          <w:rFonts w:cs="Times New Roman"/>
          <w:szCs w:val="24"/>
        </w:rPr>
      </w:pPr>
    </w:p>
    <w:p w:rsidR="00B40416" w:rsidRPr="00771B25" w:rsidRDefault="00B40416" w:rsidP="000F5064">
      <w:pPr>
        <w:spacing w:after="0"/>
        <w:jc w:val="both"/>
        <w:rPr>
          <w:rFonts w:cs="Times New Roman"/>
          <w:b/>
          <w:szCs w:val="24"/>
        </w:rPr>
      </w:pPr>
    </w:p>
    <w:p w:rsidR="00B40416" w:rsidRPr="00771B25" w:rsidRDefault="00B933A3" w:rsidP="00A54D65">
      <w:pPr>
        <w:spacing w:after="0"/>
        <w:rPr>
          <w:rFonts w:cs="Times New Roman"/>
          <w:b/>
          <w:szCs w:val="24"/>
        </w:rPr>
      </w:pPr>
      <w:r w:rsidRPr="00771B25">
        <w:rPr>
          <w:rFonts w:cs="Times New Roman"/>
          <w:b/>
          <w:szCs w:val="24"/>
        </w:rPr>
        <w:t>2.15. Gevur lógaruppskotið almennum myndugleikum atgongd til privata ogn?</w:t>
      </w:r>
    </w:p>
    <w:p w:rsidR="00B65189" w:rsidRDefault="00B65189" w:rsidP="00876D2D">
      <w:pPr>
        <w:spacing w:after="0"/>
        <w:jc w:val="both"/>
        <w:rPr>
          <w:rFonts w:cs="Times New Roman"/>
          <w:szCs w:val="24"/>
        </w:rPr>
      </w:pPr>
      <w:r>
        <w:rPr>
          <w:rFonts w:cs="Times New Roman"/>
          <w:szCs w:val="24"/>
        </w:rPr>
        <w:lastRenderedPageBreak/>
        <w:t>Uppskotið gevur ikki almennum my</w:t>
      </w:r>
      <w:r w:rsidR="00EF4CB9">
        <w:rPr>
          <w:rFonts w:cs="Times New Roman"/>
          <w:szCs w:val="24"/>
        </w:rPr>
        <w:t>n</w:t>
      </w:r>
      <w:r>
        <w:rPr>
          <w:rFonts w:cs="Times New Roman"/>
          <w:szCs w:val="24"/>
        </w:rPr>
        <w:t>dugleikum atgongd til privata ogn.</w:t>
      </w:r>
    </w:p>
    <w:p w:rsidR="00B65189" w:rsidRDefault="00B65189" w:rsidP="00A54D65">
      <w:pPr>
        <w:spacing w:after="0"/>
        <w:rPr>
          <w:rFonts w:cs="Times New Roman"/>
          <w:b/>
          <w:szCs w:val="24"/>
        </w:rPr>
      </w:pPr>
    </w:p>
    <w:p w:rsidR="00B40416" w:rsidRPr="00771B25" w:rsidRDefault="00FD2BE2" w:rsidP="00A54D65">
      <w:pPr>
        <w:spacing w:after="0"/>
        <w:rPr>
          <w:rFonts w:cs="Times New Roman"/>
          <w:b/>
          <w:szCs w:val="24"/>
        </w:rPr>
      </w:pPr>
      <w:r w:rsidRPr="00771B25">
        <w:rPr>
          <w:rFonts w:cs="Times New Roman"/>
          <w:b/>
          <w:szCs w:val="24"/>
        </w:rPr>
        <w:t>2.17. Yvirlit yvir avleiðingarnar av uppskotinum</w:t>
      </w:r>
    </w:p>
    <w:p w:rsidR="00FD2BE2" w:rsidRPr="00771B25" w:rsidRDefault="00FD2BE2" w:rsidP="00FD2BE2">
      <w:pPr>
        <w:spacing w:after="0"/>
        <w:rPr>
          <w:rFonts w:eastAsia="Calibri" w:cs="Times New Roman"/>
          <w:bCs/>
          <w:color w:val="000000"/>
          <w:szCs w:val="24"/>
        </w:rPr>
      </w:pPr>
    </w:p>
    <w:tbl>
      <w:tblPr>
        <w:tblStyle w:val="Tabel-Gitter1"/>
        <w:tblW w:w="9370" w:type="dxa"/>
        <w:tblInd w:w="108" w:type="dxa"/>
        <w:tblLayout w:type="fixed"/>
        <w:tblLook w:val="04A0" w:firstRow="1" w:lastRow="0" w:firstColumn="1" w:lastColumn="0" w:noHBand="0" w:noVBand="1"/>
      </w:tblPr>
      <w:tblGrid>
        <w:gridCol w:w="1522"/>
        <w:gridCol w:w="1522"/>
        <w:gridCol w:w="1759"/>
        <w:gridCol w:w="1522"/>
        <w:gridCol w:w="1522"/>
        <w:gridCol w:w="1523"/>
      </w:tblGrid>
      <w:tr w:rsidR="00FD2BE2" w:rsidRPr="00771B25" w:rsidTr="00B65189">
        <w:trPr>
          <w:trHeight w:val="690"/>
        </w:trPr>
        <w:tc>
          <w:tcPr>
            <w:tcW w:w="1522" w:type="dxa"/>
            <w:shd w:val="clear" w:color="auto" w:fill="FFFFFF"/>
          </w:tcPr>
          <w:p w:rsidR="00FD2BE2" w:rsidRPr="00771B25" w:rsidRDefault="00FD2BE2" w:rsidP="00FD2BE2">
            <w:pPr>
              <w:contextualSpacing/>
              <w:rPr>
                <w:rFonts w:eastAsia="Calibri" w:cs="Times New Roman"/>
                <w:b/>
                <w:bCs/>
                <w:sz w:val="20"/>
                <w:szCs w:val="20"/>
              </w:rPr>
            </w:pPr>
          </w:p>
        </w:tc>
        <w:tc>
          <w:tcPr>
            <w:tcW w:w="1522" w:type="dxa"/>
            <w:shd w:val="clear" w:color="auto" w:fill="FFFFFF"/>
          </w:tcPr>
          <w:p w:rsidR="00FD2BE2" w:rsidRPr="00771B25" w:rsidRDefault="00FD2BE2" w:rsidP="00D53C04">
            <w:pPr>
              <w:rPr>
                <w:rStyle w:val="Typografi10pkt"/>
                <w:rFonts w:cs="Times New Roman"/>
              </w:rPr>
            </w:pPr>
            <w:r w:rsidRPr="00771B25">
              <w:rPr>
                <w:rStyle w:val="Typografi10pkt"/>
                <w:rFonts w:cs="Times New Roman"/>
              </w:rPr>
              <w:t>Fyri landið ella landsmyndug-leikar</w:t>
            </w:r>
          </w:p>
        </w:tc>
        <w:tc>
          <w:tcPr>
            <w:tcW w:w="1759"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ávísar samfelags-bólkar ella felagsskapir</w:t>
            </w:r>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vinnuna</w:t>
            </w:r>
          </w:p>
        </w:tc>
      </w:tr>
      <w:tr w:rsidR="00FD2BE2" w:rsidRPr="00771B25" w:rsidTr="00B65189">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0E794E414A6C4B6EA58609947D81EEB4"/>
            </w:placeholder>
            <w:comboBox>
              <w:listItem w:displayText="Ja" w:value="Ja"/>
              <w:listItem w:displayText="Nei" w:value="Nei"/>
            </w:comboBox>
          </w:sdtPr>
          <w:sdtEndPr/>
          <w:sdtContent>
            <w:tc>
              <w:tcPr>
                <w:tcW w:w="1522" w:type="dxa"/>
                <w:shd w:val="clear" w:color="auto" w:fill="FFFFFF"/>
                <w:vAlign w:val="center"/>
              </w:tcPr>
              <w:p w:rsidR="00FD2BE2" w:rsidRPr="00771B25" w:rsidRDefault="00B65189"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220371911"/>
            <w:placeholder>
              <w:docPart w:val="B0845B7A4FAD4E93AB89F6E2F0F25A61"/>
            </w:placeholder>
            <w:comboBox>
              <w:listItem w:displayText="Ja" w:value="Ja"/>
              <w:listItem w:displayText="Nei" w:value="Nei"/>
            </w:comboBox>
          </w:sdtPr>
          <w:sdtEndPr/>
          <w:sdtContent>
            <w:tc>
              <w:tcPr>
                <w:tcW w:w="1759" w:type="dxa"/>
                <w:shd w:val="clear" w:color="auto" w:fill="FFFFFF"/>
                <w:vAlign w:val="center"/>
              </w:tcPr>
              <w:p w:rsidR="00FD2BE2" w:rsidRPr="00771B25" w:rsidRDefault="00B65189"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001774417"/>
            <w:placeholder>
              <w:docPart w:val="C66B0AC2590D4F3AA78672DEF4D69E3D"/>
            </w:placeholder>
            <w:comboBox>
              <w:listItem w:value="Ja"/>
              <w:listItem w:displayText="Nei" w:value="Nei"/>
            </w:comboBox>
          </w:sdtPr>
          <w:sdtEndPr/>
          <w:sdtContent>
            <w:tc>
              <w:tcPr>
                <w:tcW w:w="1522" w:type="dxa"/>
                <w:shd w:val="clear" w:color="auto" w:fill="FFFFFF"/>
                <w:vAlign w:val="center"/>
              </w:tcPr>
              <w:p w:rsidR="00FD2BE2" w:rsidRPr="00771B25" w:rsidRDefault="00B65189"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722052874"/>
            <w:placeholder>
              <w:docPart w:val="CBF9140793F9408A9FC56C6985293A5B"/>
            </w:placeholder>
            <w:comboBox>
              <w:listItem w:displayText="Ja" w:value="Ja"/>
              <w:listItem w:displayText="Nei" w:value="Nei"/>
            </w:comboBox>
          </w:sdtPr>
          <w:sdtEndPr/>
          <w:sdtContent>
            <w:tc>
              <w:tcPr>
                <w:tcW w:w="1522" w:type="dxa"/>
                <w:shd w:val="clear" w:color="auto" w:fill="FFFFFF"/>
                <w:vAlign w:val="center"/>
              </w:tcPr>
              <w:p w:rsidR="00FD2BE2" w:rsidRPr="00771B25" w:rsidRDefault="00B65189"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212457157"/>
            <w:placeholder>
              <w:docPart w:val="377A5135674E4691ABE617890B88AA81"/>
            </w:placeholder>
            <w:comboBox>
              <w:listItem w:displayText="Ja" w:value="Ja"/>
              <w:listItem w:displayText="Nei" w:value="Nei"/>
            </w:comboBox>
          </w:sdtPr>
          <w:sdtEndPr/>
          <w:sdtContent>
            <w:tc>
              <w:tcPr>
                <w:tcW w:w="1523" w:type="dxa"/>
                <w:shd w:val="clear" w:color="auto" w:fill="FFFFFF"/>
                <w:vAlign w:val="center"/>
              </w:tcPr>
              <w:p w:rsidR="00FD2BE2" w:rsidRPr="00771B25" w:rsidRDefault="00B65189" w:rsidP="00FD2BE2">
                <w:pPr>
                  <w:contextualSpacing/>
                  <w:jc w:val="center"/>
                  <w:rPr>
                    <w:rFonts w:eastAsia="Calibri" w:cs="Times New Roman"/>
                    <w:bCs/>
                    <w:sz w:val="20"/>
                    <w:szCs w:val="20"/>
                  </w:rPr>
                </w:pPr>
                <w:r>
                  <w:rPr>
                    <w:rFonts w:eastAsia="Calibri" w:cs="Times New Roman"/>
                    <w:bCs/>
                    <w:sz w:val="20"/>
                    <w:szCs w:val="20"/>
                  </w:rPr>
                  <w:t>Ja</w:t>
                </w:r>
              </w:p>
            </w:tc>
          </w:sdtContent>
        </w:sdt>
      </w:tr>
      <w:tr w:rsidR="00FD2BE2" w:rsidRPr="00771B25" w:rsidTr="00B65189">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463475165"/>
            <w:placeholder>
              <w:docPart w:val="3481A445D6C048FABA04984BC845C8F6"/>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93965219"/>
            <w:placeholder>
              <w:docPart w:val="3B52F9BE67D84BDFB4FF454406EE304D"/>
            </w:placeholder>
            <w:comboBox>
              <w:listItem w:displayText="Ja" w:value="Ja"/>
              <w:listItem w:displayText="Nei" w:value="Nei"/>
            </w:comboBox>
          </w:sdtPr>
          <w:sdtEndPr>
            <w:rPr>
              <w:rStyle w:val="Typografi10pkt"/>
            </w:rPr>
          </w:sdtEndPr>
          <w:sdtContent>
            <w:tc>
              <w:tcPr>
                <w:tcW w:w="1759"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732535479"/>
            <w:placeholder>
              <w:docPart w:val="022A63F9ED124B81AE25825156BFBFEB"/>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247317771"/>
            <w:placeholder>
              <w:docPart w:val="E677A9D0D9D44818AB781EDF9BDB60F7"/>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37699706"/>
            <w:placeholder>
              <w:docPart w:val="EF07A0607A044052AE5B375D1315EB41"/>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Ja</w:t>
                </w:r>
              </w:p>
            </w:tc>
          </w:sdtContent>
        </w:sdt>
      </w:tr>
      <w:tr w:rsidR="00FD2BE2" w:rsidRPr="00771B25" w:rsidTr="00B65189">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ED814AEEDEFE45928AC9B2639F504B6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69170381"/>
            <w:placeholder>
              <w:docPart w:val="D3B523D2859D4124BC7C54B0A79634A4"/>
            </w:placeholder>
            <w:comboBox>
              <w:listItem w:displayText="Ja" w:value="Ja"/>
              <w:listItem w:displayText="Nei" w:value="Nei"/>
            </w:comboBox>
          </w:sdtPr>
          <w:sdtEndPr>
            <w:rPr>
              <w:rStyle w:val="Typografi10pkt"/>
            </w:rPr>
          </w:sdtEndPr>
          <w:sdtContent>
            <w:tc>
              <w:tcPr>
                <w:tcW w:w="1759"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69403764"/>
            <w:placeholder>
              <w:docPart w:val="6051A2D261D4404DAD67FE4B2B88D75E"/>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56685929"/>
            <w:placeholder>
              <w:docPart w:val="39522061997843F196C17C47851F313B"/>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671832337"/>
            <w:placeholder>
              <w:docPart w:val="940F0062E8D145208F7A2AF45D8705FE"/>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tr>
      <w:tr w:rsidR="00FD2BE2" w:rsidRPr="00771B25" w:rsidTr="00B65189">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FD2BE2" w:rsidRPr="00771B25" w:rsidRDefault="00097377" w:rsidP="00FD2BE2">
            <w:pPr>
              <w:contextualSpacing/>
              <w:jc w:val="center"/>
              <w:rPr>
                <w:rStyle w:val="Typografi10pkt"/>
                <w:rFonts w:cs="Times New Roman"/>
              </w:rPr>
            </w:pPr>
            <w:sdt>
              <w:sdtPr>
                <w:rPr>
                  <w:rStyle w:val="Typografi10pkt"/>
                  <w:rFonts w:cs="Times New Roman"/>
                </w:rPr>
                <w:id w:val="-1768680227"/>
                <w:placeholder>
                  <w:docPart w:val="FF1FB179A2A74828AA990CB5C8469BAF"/>
                </w:placeholder>
                <w:comboBox>
                  <w:listItem w:displayText="Ja" w:value="Ja"/>
                  <w:listItem w:displayText="Nei" w:value="Nei"/>
                </w:comboBox>
              </w:sdtPr>
              <w:sdtEndPr>
                <w:rPr>
                  <w:rStyle w:val="Typografi10pkt"/>
                </w:rPr>
              </w:sdtEndPr>
              <w:sdtContent>
                <w:r w:rsidR="00B65189">
                  <w:rPr>
                    <w:rStyle w:val="Typografi10pkt"/>
                    <w:rFonts w:cs="Times New Roman"/>
                  </w:rPr>
                  <w:t>Nei</w:t>
                </w:r>
              </w:sdtContent>
            </w:sdt>
          </w:p>
        </w:tc>
        <w:sdt>
          <w:sdtPr>
            <w:rPr>
              <w:rStyle w:val="Typografi10pkt"/>
              <w:rFonts w:cs="Times New Roman"/>
            </w:rPr>
            <w:id w:val="-613131601"/>
            <w:placeholder>
              <w:docPart w:val="296EB85DFFF34979968BF6BAC68D0F1E"/>
            </w:placeholder>
            <w:comboBox>
              <w:listItem w:displayText="Ja" w:value="Ja"/>
              <w:listItem w:displayText="Nei" w:value="Nei"/>
            </w:comboBox>
          </w:sdtPr>
          <w:sdtEndPr>
            <w:rPr>
              <w:rStyle w:val="Typografi10pkt"/>
            </w:rPr>
          </w:sdtEndPr>
          <w:sdtContent>
            <w:tc>
              <w:tcPr>
                <w:tcW w:w="1759" w:type="dxa"/>
                <w:tcBorders>
                  <w:bottom w:val="single" w:sz="4" w:space="0" w:color="auto"/>
                </w:tcBorders>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36996114"/>
            <w:placeholder>
              <w:docPart w:val="73A15430932F4644A688DC80E8CFC584"/>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69521836"/>
            <w:placeholder>
              <w:docPart w:val="DFF6F8E8217D4723A629329EB9579236"/>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05216052"/>
            <w:placeholder>
              <w:docPart w:val="FAEF1DE8F27743EA9AC5603CEBB74E81"/>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tr>
      <w:tr w:rsidR="00FD2BE2" w:rsidRPr="00771B25" w:rsidTr="00B65189">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Sosialar avleiðingar</w:t>
            </w:r>
          </w:p>
        </w:tc>
        <w:tc>
          <w:tcPr>
            <w:tcW w:w="3281" w:type="dxa"/>
            <w:gridSpan w:val="2"/>
            <w:tcBorders>
              <w:bottom w:val="single" w:sz="4" w:space="0" w:color="auto"/>
            </w:tcBorders>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sdt>
          <w:sdtPr>
            <w:rPr>
              <w:rStyle w:val="Typografi10pkt"/>
              <w:rFonts w:cs="Times New Roman"/>
            </w:rPr>
            <w:id w:val="-1092471004"/>
            <w:placeholder>
              <w:docPart w:val="AAC4AE6309354EDBB28F8893215C9830"/>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251424783"/>
            <w:placeholder>
              <w:docPart w:val="3C9B2C53705743158CD5FE4D4D4E506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B65189" w:rsidP="00FD2BE2">
                <w:pPr>
                  <w:contextualSpacing/>
                  <w:jc w:val="center"/>
                  <w:rPr>
                    <w:rStyle w:val="Typografi10pkt"/>
                    <w:rFonts w:cs="Times New Roman"/>
                  </w:rPr>
                </w:pPr>
                <w:r>
                  <w:rPr>
                    <w:rStyle w:val="Typografi10pkt"/>
                    <w:rFonts w:cs="Times New Roman"/>
                  </w:rPr>
                  <w:t>Nei</w:t>
                </w:r>
              </w:p>
            </w:tc>
          </w:sdtContent>
        </w:sdt>
        <w:tc>
          <w:tcPr>
            <w:tcW w:w="1523" w:type="dxa"/>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tr>
    </w:tbl>
    <w:p w:rsidR="00FD2BE2" w:rsidRPr="00771B25" w:rsidRDefault="00FD2BE2" w:rsidP="00FD2BE2">
      <w:pPr>
        <w:spacing w:after="0"/>
        <w:rPr>
          <w:rFonts w:eastAsia="Times New Roman" w:cs="Times New Roman"/>
          <w:b/>
          <w:bCs/>
          <w:color w:val="000000"/>
          <w:szCs w:val="26"/>
        </w:rPr>
      </w:pPr>
    </w:p>
    <w:p w:rsidR="003A716C" w:rsidRPr="00771B25" w:rsidRDefault="003A716C" w:rsidP="00D42DA6">
      <w:pPr>
        <w:rPr>
          <w:rFonts w:eastAsia="Times New Roman" w:cs="Times New Roman"/>
          <w:b/>
          <w:bCs/>
          <w:color w:val="000000"/>
          <w:szCs w:val="26"/>
        </w:rPr>
      </w:pPr>
      <w:r w:rsidRPr="00771B25">
        <w:rPr>
          <w:rFonts w:eastAsia="Times New Roman" w:cs="Times New Roman"/>
          <w:b/>
          <w:bCs/>
          <w:color w:val="000000"/>
          <w:szCs w:val="26"/>
        </w:rPr>
        <w:t>Kapittul 3. Serligar viðmerkingar</w:t>
      </w:r>
    </w:p>
    <w:p w:rsidR="00B933A3" w:rsidRPr="00771B25" w:rsidRDefault="00B933A3" w:rsidP="00A54D65">
      <w:pPr>
        <w:spacing w:after="0"/>
        <w:rPr>
          <w:rFonts w:cs="Times New Roman"/>
          <w:b/>
          <w:szCs w:val="24"/>
        </w:rPr>
      </w:pPr>
    </w:p>
    <w:p w:rsidR="00D10CE4" w:rsidRPr="00771B25" w:rsidRDefault="00D10CE4" w:rsidP="00C94B40">
      <w:pPr>
        <w:spacing w:after="0"/>
        <w:jc w:val="both"/>
        <w:rPr>
          <w:rFonts w:cs="Times New Roman"/>
          <w:b/>
          <w:szCs w:val="24"/>
        </w:rPr>
      </w:pPr>
      <w:r w:rsidRPr="00771B25">
        <w:rPr>
          <w:rFonts w:cs="Times New Roman"/>
          <w:b/>
          <w:szCs w:val="24"/>
        </w:rPr>
        <w:t>Til § 1</w:t>
      </w:r>
    </w:p>
    <w:p w:rsidR="00883055" w:rsidRDefault="00883055" w:rsidP="00C94B40">
      <w:pPr>
        <w:spacing w:after="0"/>
        <w:jc w:val="both"/>
        <w:rPr>
          <w:rFonts w:cs="Times New Roman"/>
          <w:szCs w:val="24"/>
        </w:rPr>
      </w:pPr>
    </w:p>
    <w:p w:rsidR="00D10CE4" w:rsidRPr="00E44041" w:rsidRDefault="00883055" w:rsidP="00C94B40">
      <w:pPr>
        <w:spacing w:after="0"/>
        <w:jc w:val="both"/>
        <w:rPr>
          <w:rFonts w:cs="Times New Roman"/>
          <w:b/>
          <w:i/>
          <w:szCs w:val="24"/>
        </w:rPr>
      </w:pPr>
      <w:r w:rsidRPr="00E44041">
        <w:rPr>
          <w:rFonts w:cs="Times New Roman"/>
          <w:b/>
          <w:i/>
          <w:szCs w:val="24"/>
        </w:rPr>
        <w:t>Til nr. 1</w:t>
      </w:r>
    </w:p>
    <w:p w:rsidR="00883055" w:rsidRDefault="00883055" w:rsidP="00C94B40">
      <w:pPr>
        <w:spacing w:after="0"/>
        <w:jc w:val="both"/>
        <w:rPr>
          <w:rFonts w:cs="Times New Roman"/>
          <w:szCs w:val="24"/>
        </w:rPr>
      </w:pPr>
    </w:p>
    <w:p w:rsidR="00883055" w:rsidRPr="00E44041" w:rsidRDefault="00883055" w:rsidP="00C94B40">
      <w:pPr>
        <w:spacing w:after="0"/>
        <w:jc w:val="both"/>
        <w:rPr>
          <w:rFonts w:cs="Times New Roman"/>
          <w:i/>
          <w:szCs w:val="24"/>
        </w:rPr>
      </w:pPr>
      <w:r w:rsidRPr="00E44041">
        <w:rPr>
          <w:rFonts w:cs="Times New Roman"/>
          <w:i/>
          <w:szCs w:val="24"/>
        </w:rPr>
        <w:t>Stk. 1.</w:t>
      </w:r>
    </w:p>
    <w:p w:rsidR="000E5A36" w:rsidRDefault="00BB2EF2" w:rsidP="00C94B40">
      <w:pPr>
        <w:spacing w:after="0"/>
        <w:jc w:val="both"/>
        <w:rPr>
          <w:rFonts w:cs="Times New Roman"/>
          <w:szCs w:val="24"/>
        </w:rPr>
      </w:pPr>
      <w:r>
        <w:rPr>
          <w:rFonts w:cs="Times New Roman"/>
          <w:szCs w:val="24"/>
        </w:rPr>
        <w:t>Eftir uppskotinum skal OT</w:t>
      </w:r>
      <w:r w:rsidR="00EA500F">
        <w:rPr>
          <w:rFonts w:cs="Times New Roman"/>
          <w:szCs w:val="24"/>
        </w:rPr>
        <w:t xml:space="preserve"> skipa rakst</w:t>
      </w:r>
      <w:r w:rsidR="000E5A36">
        <w:rPr>
          <w:rFonts w:cs="Times New Roman"/>
          <w:szCs w:val="24"/>
        </w:rPr>
        <w:t>r</w:t>
      </w:r>
      <w:r w:rsidR="00EA500F">
        <w:rPr>
          <w:rFonts w:cs="Times New Roman"/>
          <w:szCs w:val="24"/>
        </w:rPr>
        <w:t xml:space="preserve">arfeløgini Betri Trygging og Betri Pensjón øðrumegin og Betri Banka hinumegin </w:t>
      </w:r>
      <w:r w:rsidRPr="00BB2EF2">
        <w:rPr>
          <w:rFonts w:cs="Times New Roman"/>
          <w:szCs w:val="24"/>
        </w:rPr>
        <w:t xml:space="preserve">við ávikavist eini tryggingarhaldfyritøku og eini </w:t>
      </w:r>
      <w:r w:rsidR="00EA500F">
        <w:rPr>
          <w:rFonts w:cs="Times New Roman"/>
          <w:szCs w:val="24"/>
        </w:rPr>
        <w:t xml:space="preserve">bankahaldfyritøku. </w:t>
      </w:r>
    </w:p>
    <w:p w:rsidR="000E5A36" w:rsidRDefault="000E5A36" w:rsidP="00C94B40">
      <w:pPr>
        <w:spacing w:after="0"/>
        <w:jc w:val="both"/>
        <w:rPr>
          <w:rFonts w:cs="Times New Roman"/>
          <w:szCs w:val="24"/>
        </w:rPr>
      </w:pPr>
    </w:p>
    <w:p w:rsidR="000E5A36" w:rsidRDefault="00EA500F" w:rsidP="00C94B40">
      <w:pPr>
        <w:spacing w:after="0"/>
        <w:jc w:val="both"/>
        <w:rPr>
          <w:rFonts w:cs="Times New Roman"/>
          <w:szCs w:val="24"/>
        </w:rPr>
      </w:pPr>
      <w:r>
        <w:rPr>
          <w:rFonts w:cs="Times New Roman"/>
          <w:szCs w:val="24"/>
        </w:rPr>
        <w:t xml:space="preserve">Haldfyritøkurnar skulu sostatt skipast beinleiðis undir OT, og ikki t.d. við eini </w:t>
      </w:r>
      <w:r w:rsidR="000E5A36">
        <w:rPr>
          <w:rFonts w:cs="Times New Roman"/>
          <w:szCs w:val="24"/>
        </w:rPr>
        <w:t>h</w:t>
      </w:r>
      <w:r>
        <w:rPr>
          <w:rFonts w:cs="Times New Roman"/>
          <w:szCs w:val="24"/>
        </w:rPr>
        <w:t xml:space="preserve">aldfyritøku sum millumlið. </w:t>
      </w:r>
    </w:p>
    <w:p w:rsidR="000E5A36" w:rsidRDefault="000E5A36" w:rsidP="00C94B40">
      <w:pPr>
        <w:spacing w:after="0"/>
        <w:jc w:val="both"/>
        <w:rPr>
          <w:rFonts w:cs="Times New Roman"/>
          <w:szCs w:val="24"/>
        </w:rPr>
      </w:pPr>
    </w:p>
    <w:p w:rsidR="00D86DC7" w:rsidRPr="00D86DC7" w:rsidRDefault="00A02A86" w:rsidP="00D86DC7">
      <w:pPr>
        <w:spacing w:after="0"/>
        <w:jc w:val="both"/>
        <w:rPr>
          <w:rFonts w:cs="Times New Roman"/>
          <w:szCs w:val="24"/>
        </w:rPr>
      </w:pPr>
      <w:r>
        <w:rPr>
          <w:rFonts w:cs="Times New Roman"/>
          <w:szCs w:val="24"/>
        </w:rPr>
        <w:t>Í u</w:t>
      </w:r>
      <w:r w:rsidR="00D86DC7" w:rsidRPr="00D86DC7">
        <w:rPr>
          <w:rFonts w:cs="Times New Roman"/>
          <w:szCs w:val="24"/>
        </w:rPr>
        <w:t>ppskoti</w:t>
      </w:r>
      <w:r>
        <w:rPr>
          <w:rFonts w:cs="Times New Roman"/>
          <w:szCs w:val="24"/>
        </w:rPr>
        <w:t xml:space="preserve">num verður annars ikki tikin støða til, </w:t>
      </w:r>
      <w:r w:rsidR="00D86DC7" w:rsidRPr="00D86DC7">
        <w:rPr>
          <w:rFonts w:cs="Times New Roman"/>
          <w:szCs w:val="24"/>
        </w:rPr>
        <w:t>hvussu TF samtakið verður skip</w:t>
      </w:r>
      <w:r w:rsidR="008C2493">
        <w:rPr>
          <w:rFonts w:cs="Times New Roman"/>
          <w:szCs w:val="24"/>
        </w:rPr>
        <w:t>að í ávikavist eitt bankahaldfelag og eitt tryggingarhaldfelag</w:t>
      </w:r>
      <w:r w:rsidR="00C01AA9">
        <w:rPr>
          <w:rFonts w:cs="Times New Roman"/>
          <w:szCs w:val="24"/>
        </w:rPr>
        <w:t>, men tað kann t.d. verða gjørt soleiðis:</w:t>
      </w:r>
      <w:r w:rsidR="00D86DC7" w:rsidRPr="00D86DC7">
        <w:rPr>
          <w:rFonts w:cs="Times New Roman"/>
          <w:szCs w:val="24"/>
        </w:rPr>
        <w:t xml:space="preserve">  </w:t>
      </w:r>
    </w:p>
    <w:p w:rsidR="00D86DC7" w:rsidRPr="00C01AA9" w:rsidRDefault="00A02A86" w:rsidP="00C01AA9">
      <w:pPr>
        <w:pStyle w:val="Listeafsnit"/>
        <w:numPr>
          <w:ilvl w:val="0"/>
          <w:numId w:val="15"/>
        </w:numPr>
        <w:spacing w:after="0"/>
        <w:jc w:val="both"/>
        <w:rPr>
          <w:rFonts w:cs="Times New Roman"/>
          <w:szCs w:val="24"/>
        </w:rPr>
      </w:pPr>
      <w:r w:rsidRPr="00C01AA9">
        <w:rPr>
          <w:rFonts w:cs="Times New Roman"/>
          <w:szCs w:val="24"/>
        </w:rPr>
        <w:t xml:space="preserve">Betri </w:t>
      </w:r>
      <w:r w:rsidR="00D86DC7" w:rsidRPr="00C01AA9">
        <w:rPr>
          <w:rFonts w:cs="Times New Roman"/>
          <w:szCs w:val="24"/>
        </w:rPr>
        <w:t xml:space="preserve">P/F verður </w:t>
      </w:r>
      <w:r w:rsidRPr="00C01AA9">
        <w:rPr>
          <w:rFonts w:cs="Times New Roman"/>
          <w:szCs w:val="24"/>
        </w:rPr>
        <w:t xml:space="preserve">eftir reglunum í kapittul 15 í vinnufelagalógini kloyvt í </w:t>
      </w:r>
      <w:r w:rsidR="00D86DC7" w:rsidRPr="00C01AA9">
        <w:rPr>
          <w:rFonts w:cs="Times New Roman"/>
          <w:szCs w:val="24"/>
        </w:rPr>
        <w:t xml:space="preserve">tvey nýggj </w:t>
      </w:r>
      <w:r w:rsidRPr="00C01AA9">
        <w:rPr>
          <w:rFonts w:cs="Times New Roman"/>
          <w:szCs w:val="24"/>
        </w:rPr>
        <w:t>partafeløg, eitt tryggingarhaldpartafelag og eitt bankahaldpartafelag, sum OT stovnar í tí sambandinum. Við kloyvingini verða ognir og skyldur hjá Betri P/F í síni heild avhendaðar til nýggju partafeløgini, og í viðurgjaldi fær OT partabrøv í nýggju partafeløgunum</w:t>
      </w:r>
      <w:r w:rsidR="00AD179E" w:rsidRPr="00C01AA9">
        <w:rPr>
          <w:rFonts w:cs="Times New Roman"/>
          <w:szCs w:val="24"/>
        </w:rPr>
        <w:t xml:space="preserve"> </w:t>
      </w:r>
      <w:r w:rsidR="00D86DC7" w:rsidRPr="00C01AA9">
        <w:rPr>
          <w:rFonts w:cs="Times New Roman"/>
          <w:szCs w:val="24"/>
        </w:rPr>
        <w:t xml:space="preserve">í staðin fyri í </w:t>
      </w:r>
      <w:r w:rsidR="00AD179E" w:rsidRPr="00C01AA9">
        <w:rPr>
          <w:rFonts w:cs="Times New Roman"/>
          <w:szCs w:val="24"/>
        </w:rPr>
        <w:t xml:space="preserve">Betri P/F, </w:t>
      </w:r>
      <w:r w:rsidR="008C2493">
        <w:rPr>
          <w:rFonts w:cs="Times New Roman"/>
          <w:szCs w:val="24"/>
        </w:rPr>
        <w:t>sum</w:t>
      </w:r>
      <w:r w:rsidR="00D86DC7" w:rsidRPr="00C01AA9">
        <w:rPr>
          <w:rFonts w:cs="Times New Roman"/>
          <w:szCs w:val="24"/>
        </w:rPr>
        <w:t xml:space="preserve"> heldur uppat.</w:t>
      </w:r>
    </w:p>
    <w:p w:rsidR="00D86DC7" w:rsidRPr="00C01AA9" w:rsidRDefault="00D86DC7" w:rsidP="00C01AA9">
      <w:pPr>
        <w:pStyle w:val="Listeafsnit"/>
        <w:numPr>
          <w:ilvl w:val="0"/>
          <w:numId w:val="15"/>
        </w:numPr>
        <w:spacing w:after="0"/>
        <w:jc w:val="both"/>
        <w:rPr>
          <w:rFonts w:cs="Times New Roman"/>
          <w:szCs w:val="24"/>
        </w:rPr>
      </w:pPr>
      <w:r w:rsidRPr="00C01AA9">
        <w:rPr>
          <w:rFonts w:cs="Times New Roman"/>
          <w:szCs w:val="24"/>
        </w:rPr>
        <w:t xml:space="preserve">Ein partur </w:t>
      </w:r>
      <w:r w:rsidR="008C2493">
        <w:rPr>
          <w:rFonts w:cs="Times New Roman"/>
          <w:szCs w:val="24"/>
        </w:rPr>
        <w:t xml:space="preserve">av </w:t>
      </w:r>
      <w:r w:rsidR="00AD179E" w:rsidRPr="00C01AA9">
        <w:rPr>
          <w:rFonts w:cs="Times New Roman"/>
          <w:szCs w:val="24"/>
        </w:rPr>
        <w:t xml:space="preserve">Betri </w:t>
      </w:r>
      <w:r w:rsidRPr="00C01AA9">
        <w:rPr>
          <w:rFonts w:cs="Times New Roman"/>
          <w:szCs w:val="24"/>
        </w:rPr>
        <w:t xml:space="preserve">P/F verður skildur frá </w:t>
      </w:r>
      <w:r w:rsidR="00AD179E" w:rsidRPr="00C01AA9">
        <w:rPr>
          <w:rFonts w:cs="Times New Roman"/>
          <w:szCs w:val="24"/>
        </w:rPr>
        <w:t xml:space="preserve">eftir nevndu reglum </w:t>
      </w:r>
      <w:r w:rsidRPr="00C01AA9">
        <w:rPr>
          <w:rFonts w:cs="Times New Roman"/>
          <w:szCs w:val="24"/>
        </w:rPr>
        <w:t>í eitt nýtt h</w:t>
      </w:r>
      <w:r w:rsidR="00AD179E" w:rsidRPr="00C01AA9">
        <w:rPr>
          <w:rFonts w:cs="Times New Roman"/>
          <w:szCs w:val="24"/>
        </w:rPr>
        <w:t xml:space="preserve">aldpartafelag </w:t>
      </w:r>
      <w:r w:rsidRPr="00C01AA9">
        <w:rPr>
          <w:rFonts w:cs="Times New Roman"/>
          <w:szCs w:val="24"/>
        </w:rPr>
        <w:t>(banka ella trygging) og OT fær partapening í nýggja h</w:t>
      </w:r>
      <w:r w:rsidR="001A279E">
        <w:rPr>
          <w:rFonts w:cs="Times New Roman"/>
          <w:szCs w:val="24"/>
        </w:rPr>
        <w:t>aldpartafel</w:t>
      </w:r>
      <w:r w:rsidR="008C2493">
        <w:rPr>
          <w:rFonts w:cs="Times New Roman"/>
          <w:szCs w:val="24"/>
        </w:rPr>
        <w:t>a</w:t>
      </w:r>
      <w:r w:rsidR="001A279E">
        <w:rPr>
          <w:rFonts w:cs="Times New Roman"/>
          <w:szCs w:val="24"/>
        </w:rPr>
        <w:t xml:space="preserve">gnum, </w:t>
      </w:r>
      <w:r w:rsidRPr="00C01AA9">
        <w:rPr>
          <w:rFonts w:cs="Times New Roman"/>
          <w:szCs w:val="24"/>
        </w:rPr>
        <w:t xml:space="preserve">meðan </w:t>
      </w:r>
      <w:r w:rsidR="00AD179E" w:rsidRPr="00C01AA9">
        <w:rPr>
          <w:rFonts w:cs="Times New Roman"/>
          <w:szCs w:val="24"/>
        </w:rPr>
        <w:t xml:space="preserve">Betri P/F </w:t>
      </w:r>
      <w:r w:rsidR="008C2493">
        <w:rPr>
          <w:rFonts w:cs="Times New Roman"/>
          <w:szCs w:val="24"/>
        </w:rPr>
        <w:t xml:space="preserve">heldur fram sum </w:t>
      </w:r>
      <w:r w:rsidRPr="00C01AA9">
        <w:rPr>
          <w:rFonts w:cs="Times New Roman"/>
          <w:szCs w:val="24"/>
        </w:rPr>
        <w:t>banka</w:t>
      </w:r>
      <w:r w:rsidR="008C2493">
        <w:rPr>
          <w:rFonts w:cs="Times New Roman"/>
          <w:szCs w:val="24"/>
        </w:rPr>
        <w:t>-</w:t>
      </w:r>
      <w:r w:rsidRPr="00C01AA9">
        <w:rPr>
          <w:rFonts w:cs="Times New Roman"/>
          <w:szCs w:val="24"/>
        </w:rPr>
        <w:t xml:space="preserve"> ella tryggingar</w:t>
      </w:r>
      <w:r w:rsidR="00C01AA9" w:rsidRPr="00C01AA9">
        <w:rPr>
          <w:rFonts w:cs="Times New Roman"/>
          <w:szCs w:val="24"/>
        </w:rPr>
        <w:t xml:space="preserve">haldfelag. </w:t>
      </w:r>
    </w:p>
    <w:p w:rsidR="00C01AA9" w:rsidRDefault="00C01AA9" w:rsidP="00D86DC7">
      <w:pPr>
        <w:spacing w:after="0"/>
        <w:jc w:val="both"/>
        <w:rPr>
          <w:rFonts w:cs="Times New Roman"/>
          <w:szCs w:val="24"/>
        </w:rPr>
      </w:pPr>
    </w:p>
    <w:p w:rsidR="00D86DC7" w:rsidRPr="00D86DC7" w:rsidRDefault="00C01AA9" w:rsidP="00D86DC7">
      <w:pPr>
        <w:spacing w:after="0"/>
        <w:jc w:val="both"/>
        <w:rPr>
          <w:rFonts w:cs="Times New Roman"/>
          <w:szCs w:val="24"/>
        </w:rPr>
      </w:pPr>
      <w:r>
        <w:rPr>
          <w:rFonts w:cs="Times New Roman"/>
          <w:szCs w:val="24"/>
        </w:rPr>
        <w:t>R</w:t>
      </w:r>
      <w:r w:rsidR="00D86DC7" w:rsidRPr="00D86DC7">
        <w:rPr>
          <w:rFonts w:cs="Times New Roman"/>
          <w:szCs w:val="24"/>
        </w:rPr>
        <w:t>eglur um skattligar avleiðingar av hesum eru í løgtingslóg um skattafría samanlegging.</w:t>
      </w:r>
    </w:p>
    <w:p w:rsidR="00D86DC7" w:rsidRDefault="00D86DC7" w:rsidP="00D86DC7">
      <w:pPr>
        <w:spacing w:after="0"/>
        <w:jc w:val="both"/>
        <w:rPr>
          <w:rFonts w:cs="Times New Roman"/>
          <w:szCs w:val="24"/>
        </w:rPr>
      </w:pPr>
    </w:p>
    <w:p w:rsidR="00C01AA9" w:rsidRDefault="00C01AA9" w:rsidP="00D86DC7">
      <w:pPr>
        <w:spacing w:after="0"/>
        <w:jc w:val="both"/>
        <w:rPr>
          <w:rFonts w:cs="Times New Roman"/>
          <w:szCs w:val="24"/>
        </w:rPr>
      </w:pPr>
      <w:r>
        <w:rPr>
          <w:rFonts w:cs="Times New Roman"/>
          <w:szCs w:val="24"/>
        </w:rPr>
        <w:lastRenderedPageBreak/>
        <w:t>Nýggju beinleiðis eigararnir skulu góðkennast av ávikavist Tryggingareftirlitinum og Fíggjareftitinum</w:t>
      </w:r>
      <w:r w:rsidR="001A279E">
        <w:rPr>
          <w:rFonts w:cs="Times New Roman"/>
          <w:szCs w:val="24"/>
        </w:rPr>
        <w:t>, men tað valdast eisini, hvussu OT velur at tillaga bygnaðin</w:t>
      </w:r>
      <w:r>
        <w:rPr>
          <w:rFonts w:cs="Times New Roman"/>
          <w:szCs w:val="24"/>
        </w:rPr>
        <w:t>.</w:t>
      </w:r>
    </w:p>
    <w:p w:rsidR="008C2493" w:rsidRDefault="008C2493" w:rsidP="007B2776">
      <w:pPr>
        <w:spacing w:after="0"/>
        <w:jc w:val="both"/>
        <w:rPr>
          <w:rFonts w:cs="Times New Roman"/>
          <w:szCs w:val="24"/>
        </w:rPr>
      </w:pPr>
    </w:p>
    <w:p w:rsidR="007B2776" w:rsidRDefault="007B2776" w:rsidP="007B2776">
      <w:pPr>
        <w:spacing w:after="0"/>
        <w:jc w:val="both"/>
        <w:rPr>
          <w:rFonts w:cs="Times New Roman"/>
          <w:szCs w:val="24"/>
        </w:rPr>
      </w:pPr>
      <w:r w:rsidRPr="007B2776">
        <w:rPr>
          <w:rFonts w:cs="Times New Roman"/>
          <w:szCs w:val="24"/>
        </w:rPr>
        <w:t>OT og Betri P/f eru fíggjarligir haldfelagsskapir eftir § 5, stk. 1, nr. 10 í FIL</w:t>
      </w:r>
      <w:r>
        <w:rPr>
          <w:rFonts w:cs="Times New Roman"/>
          <w:szCs w:val="24"/>
        </w:rPr>
        <w:t>.</w:t>
      </w:r>
      <w:r w:rsidR="008C2493">
        <w:rPr>
          <w:rFonts w:cs="Times New Roman"/>
          <w:szCs w:val="24"/>
        </w:rPr>
        <w:t xml:space="preserve"> </w:t>
      </w:r>
      <w:r w:rsidRPr="007B2776">
        <w:rPr>
          <w:rFonts w:cs="Times New Roman"/>
          <w:szCs w:val="24"/>
        </w:rPr>
        <w:t xml:space="preserve">Við uppskotinum um at tryggingarhaldfelagið og bankahaldfelagið skulu vera í hvør sínum haldfelagsskapi, verða nýggju reglurnar um tryggingarhaldfeløg, sum verða ásettar í uppskotinum um at broyta </w:t>
      </w:r>
      <w:r w:rsidR="008C2493">
        <w:rPr>
          <w:rFonts w:cs="Times New Roman"/>
          <w:szCs w:val="24"/>
        </w:rPr>
        <w:t>tryggingarlógina</w:t>
      </w:r>
      <w:r w:rsidRPr="007B2776">
        <w:rPr>
          <w:rFonts w:cs="Times New Roman"/>
          <w:szCs w:val="24"/>
        </w:rPr>
        <w:t>, galdandi fyri haldfelagsskapir, herundir reglurnar um individuel solvenskrøv og reglurnar um skuldbindingar millum feløgini í samtøkuni. Hesar reglurnar í tryggingarlógini verða ikki galdandi fyri OT, sbr</w:t>
      </w:r>
      <w:r w:rsidR="003F310B">
        <w:rPr>
          <w:rFonts w:cs="Times New Roman"/>
          <w:szCs w:val="24"/>
        </w:rPr>
        <w:t>.</w:t>
      </w:r>
      <w:r w:rsidRPr="007B2776">
        <w:rPr>
          <w:rFonts w:cs="Times New Roman"/>
          <w:szCs w:val="24"/>
        </w:rPr>
        <w:t xml:space="preserve"> </w:t>
      </w:r>
      <w:r>
        <w:rPr>
          <w:rFonts w:cs="Times New Roman"/>
          <w:szCs w:val="24"/>
        </w:rPr>
        <w:t>viðmer</w:t>
      </w:r>
      <w:r w:rsidR="003F310B">
        <w:rPr>
          <w:rFonts w:cs="Times New Roman"/>
          <w:szCs w:val="24"/>
        </w:rPr>
        <w:t>k</w:t>
      </w:r>
      <w:r>
        <w:rPr>
          <w:rFonts w:cs="Times New Roman"/>
          <w:szCs w:val="24"/>
        </w:rPr>
        <w:t>ingarnar til stk. 2.</w:t>
      </w:r>
    </w:p>
    <w:p w:rsidR="007B2776" w:rsidRDefault="007B2776" w:rsidP="007B2776">
      <w:pPr>
        <w:spacing w:after="0"/>
        <w:jc w:val="both"/>
        <w:rPr>
          <w:rFonts w:cs="Times New Roman"/>
          <w:szCs w:val="24"/>
        </w:rPr>
      </w:pPr>
    </w:p>
    <w:p w:rsidR="001A279E" w:rsidRPr="00E44041" w:rsidRDefault="001A279E" w:rsidP="00D86DC7">
      <w:pPr>
        <w:spacing w:after="0"/>
        <w:jc w:val="both"/>
        <w:rPr>
          <w:rFonts w:cs="Times New Roman"/>
          <w:i/>
          <w:szCs w:val="24"/>
        </w:rPr>
      </w:pPr>
      <w:r w:rsidRPr="00E44041">
        <w:rPr>
          <w:rFonts w:cs="Times New Roman"/>
          <w:i/>
          <w:szCs w:val="24"/>
        </w:rPr>
        <w:t>Stk. 2.</w:t>
      </w:r>
    </w:p>
    <w:p w:rsidR="008E610F" w:rsidRDefault="006E04B6" w:rsidP="006E04B6">
      <w:pPr>
        <w:rPr>
          <w:rFonts w:cs="Times New Roman"/>
          <w:szCs w:val="24"/>
        </w:rPr>
      </w:pPr>
      <w:r w:rsidRPr="006E04B6">
        <w:rPr>
          <w:rFonts w:cs="Times New Roman"/>
          <w:szCs w:val="24"/>
        </w:rPr>
        <w:t xml:space="preserve">Skotið verður upp, at </w:t>
      </w:r>
      <w:r w:rsidR="00E44041">
        <w:rPr>
          <w:rFonts w:cs="Times New Roman"/>
          <w:szCs w:val="24"/>
        </w:rPr>
        <w:t xml:space="preserve">forboð verður sett fyri, at </w:t>
      </w:r>
      <w:r w:rsidRPr="006E04B6">
        <w:rPr>
          <w:rFonts w:cs="Times New Roman"/>
          <w:szCs w:val="24"/>
        </w:rPr>
        <w:t>OT fíggja</w:t>
      </w:r>
      <w:r w:rsidR="00E44041">
        <w:rPr>
          <w:rFonts w:cs="Times New Roman"/>
          <w:szCs w:val="24"/>
        </w:rPr>
        <w:t>r</w:t>
      </w:r>
      <w:r w:rsidRPr="006E04B6">
        <w:rPr>
          <w:rFonts w:cs="Times New Roman"/>
          <w:szCs w:val="24"/>
        </w:rPr>
        <w:t xml:space="preserve"> kapitalinnskot í ávikavist peningastovn</w:t>
      </w:r>
      <w:r w:rsidR="003F310B">
        <w:rPr>
          <w:rFonts w:cs="Times New Roman"/>
          <w:szCs w:val="24"/>
        </w:rPr>
        <w:t>s</w:t>
      </w:r>
      <w:r w:rsidRPr="006E04B6">
        <w:rPr>
          <w:rFonts w:cs="Times New Roman"/>
          <w:szCs w:val="24"/>
        </w:rPr>
        <w:t xml:space="preserve">haldfelagsskapin og tryggingarhaldfelagsskapin umframt </w:t>
      </w:r>
      <w:r w:rsidR="003F310B">
        <w:rPr>
          <w:rFonts w:cs="Times New Roman"/>
          <w:szCs w:val="24"/>
        </w:rPr>
        <w:t>í dótturfeløg</w:t>
      </w:r>
      <w:r w:rsidRPr="006E04B6">
        <w:rPr>
          <w:rFonts w:cs="Times New Roman"/>
          <w:szCs w:val="24"/>
        </w:rPr>
        <w:t xml:space="preserve"> hjá hesum við at geara íløgurnar, t.d. við taka lán til kapitalinnskot</w:t>
      </w:r>
      <w:r w:rsidR="008E610F">
        <w:rPr>
          <w:rFonts w:cs="Times New Roman"/>
          <w:szCs w:val="24"/>
        </w:rPr>
        <w:t>.</w:t>
      </w:r>
    </w:p>
    <w:p w:rsidR="008E610F" w:rsidRDefault="008E610F" w:rsidP="006E04B6">
      <w:pPr>
        <w:rPr>
          <w:rFonts w:cs="Times New Roman"/>
          <w:szCs w:val="24"/>
        </w:rPr>
      </w:pPr>
      <w:r>
        <w:rPr>
          <w:rFonts w:cs="Times New Roman"/>
          <w:szCs w:val="24"/>
        </w:rPr>
        <w:t xml:space="preserve">Heldur ikki kann </w:t>
      </w:r>
      <w:r w:rsidR="007B2776">
        <w:rPr>
          <w:rFonts w:cs="Times New Roman"/>
          <w:szCs w:val="24"/>
        </w:rPr>
        <w:t xml:space="preserve">OT eftir uppskotinum </w:t>
      </w:r>
      <w:r w:rsidR="006E04B6" w:rsidRPr="006E04B6">
        <w:rPr>
          <w:rFonts w:cs="Times New Roman"/>
          <w:szCs w:val="24"/>
        </w:rPr>
        <w:t>veita veðhald ella aðra trygd</w:t>
      </w:r>
      <w:r w:rsidR="007B2776">
        <w:rPr>
          <w:rFonts w:cs="Times New Roman"/>
          <w:szCs w:val="24"/>
        </w:rPr>
        <w:t xml:space="preserve"> fyri lánum ella að</w:t>
      </w:r>
      <w:r>
        <w:rPr>
          <w:rFonts w:cs="Times New Roman"/>
          <w:szCs w:val="24"/>
        </w:rPr>
        <w:t>r</w:t>
      </w:r>
      <w:r w:rsidR="007B2776">
        <w:rPr>
          <w:rFonts w:cs="Times New Roman"/>
          <w:szCs w:val="24"/>
        </w:rPr>
        <w:t xml:space="preserve">ari fígging hjá </w:t>
      </w:r>
      <w:r w:rsidR="003F310B">
        <w:rPr>
          <w:rFonts w:cs="Times New Roman"/>
          <w:szCs w:val="24"/>
        </w:rPr>
        <w:t>nevndu</w:t>
      </w:r>
      <w:r w:rsidR="007B2776">
        <w:rPr>
          <w:rFonts w:cs="Times New Roman"/>
          <w:szCs w:val="24"/>
        </w:rPr>
        <w:t xml:space="preserve"> feløgum.</w:t>
      </w:r>
    </w:p>
    <w:p w:rsidR="0093428B" w:rsidRDefault="0093428B" w:rsidP="006E04B6">
      <w:pPr>
        <w:rPr>
          <w:rFonts w:cs="Times New Roman"/>
          <w:szCs w:val="24"/>
        </w:rPr>
      </w:pPr>
      <w:r>
        <w:rPr>
          <w:rFonts w:cs="Times New Roman"/>
          <w:szCs w:val="24"/>
        </w:rPr>
        <w:t xml:space="preserve">Í uppskotinum til løgtingslóg um at broyta </w:t>
      </w:r>
      <w:r w:rsidR="003F310B">
        <w:rPr>
          <w:rFonts w:cs="Times New Roman"/>
          <w:szCs w:val="24"/>
        </w:rPr>
        <w:t>tryggingarlógina</w:t>
      </w:r>
      <w:r>
        <w:rPr>
          <w:rFonts w:cs="Times New Roman"/>
          <w:szCs w:val="24"/>
        </w:rPr>
        <w:t xml:space="preserve"> verður skotið upp, at k</w:t>
      </w:r>
      <w:r w:rsidRPr="0093428B">
        <w:rPr>
          <w:rFonts w:cs="Times New Roman"/>
          <w:szCs w:val="24"/>
        </w:rPr>
        <w:t xml:space="preserve">røvini í galdandi § 110, stk. 1 </w:t>
      </w:r>
      <w:r>
        <w:rPr>
          <w:rFonts w:cs="Times New Roman"/>
          <w:szCs w:val="24"/>
        </w:rPr>
        <w:t xml:space="preserve">í </w:t>
      </w:r>
      <w:r w:rsidR="003F310B">
        <w:rPr>
          <w:rFonts w:cs="Times New Roman"/>
          <w:szCs w:val="24"/>
        </w:rPr>
        <w:t xml:space="preserve">lógini </w:t>
      </w:r>
      <w:r w:rsidRPr="0093428B">
        <w:rPr>
          <w:rFonts w:cs="Times New Roman"/>
          <w:szCs w:val="24"/>
        </w:rPr>
        <w:t xml:space="preserve">um loyvi frá Tryggingareftirlitinum til at hava skuldbindingar við aðrar fyritøkur í somu samtøku, </w:t>
      </w:r>
      <w:r w:rsidR="003F310B">
        <w:rPr>
          <w:rFonts w:cs="Times New Roman"/>
          <w:szCs w:val="24"/>
        </w:rPr>
        <w:t xml:space="preserve">tó </w:t>
      </w:r>
      <w:r w:rsidRPr="0093428B">
        <w:rPr>
          <w:rFonts w:cs="Times New Roman"/>
          <w:szCs w:val="24"/>
        </w:rPr>
        <w:t>undantikið skuldbindingar við dótturfeløg, verða víðkað til eisini at fevna um tryggingarhaldfelagsskapir.</w:t>
      </w:r>
    </w:p>
    <w:p w:rsidR="005A5C58" w:rsidRDefault="005A5C58" w:rsidP="006E04B6">
      <w:pPr>
        <w:rPr>
          <w:rFonts w:cs="Times New Roman"/>
          <w:szCs w:val="24"/>
        </w:rPr>
      </w:pPr>
      <w:r>
        <w:rPr>
          <w:rFonts w:cs="Times New Roman"/>
          <w:szCs w:val="24"/>
        </w:rPr>
        <w:t>Reglurnar skulu mótvirka einum møg</w:t>
      </w:r>
      <w:r w:rsidR="00C61C7D">
        <w:rPr>
          <w:rFonts w:cs="Times New Roman"/>
          <w:szCs w:val="24"/>
        </w:rPr>
        <w:t>u</w:t>
      </w:r>
      <w:r>
        <w:rPr>
          <w:rFonts w:cs="Times New Roman"/>
          <w:szCs w:val="24"/>
        </w:rPr>
        <w:t>ligum serligum samtøk</w:t>
      </w:r>
      <w:r w:rsidR="003F310B">
        <w:rPr>
          <w:rFonts w:cs="Times New Roman"/>
          <w:szCs w:val="24"/>
        </w:rPr>
        <w:t>u</w:t>
      </w:r>
      <w:r>
        <w:rPr>
          <w:rFonts w:cs="Times New Roman"/>
          <w:szCs w:val="24"/>
        </w:rPr>
        <w:t>váða. Sum dømi kann nevnast, at ein fíggja</w:t>
      </w:r>
      <w:r w:rsidR="00C61C7D">
        <w:rPr>
          <w:rFonts w:cs="Times New Roman"/>
          <w:szCs w:val="24"/>
        </w:rPr>
        <w:t>r</w:t>
      </w:r>
      <w:r>
        <w:rPr>
          <w:rFonts w:cs="Times New Roman"/>
          <w:szCs w:val="24"/>
        </w:rPr>
        <w:t>lig fyritøka</w:t>
      </w:r>
      <w:r w:rsidR="003F310B">
        <w:rPr>
          <w:rFonts w:cs="Times New Roman"/>
          <w:szCs w:val="24"/>
        </w:rPr>
        <w:t>,</w:t>
      </w:r>
      <w:r>
        <w:rPr>
          <w:rFonts w:cs="Times New Roman"/>
          <w:szCs w:val="24"/>
        </w:rPr>
        <w:t xml:space="preserve"> sum</w:t>
      </w:r>
      <w:r w:rsidR="003F310B">
        <w:rPr>
          <w:rFonts w:cs="Times New Roman"/>
          <w:szCs w:val="24"/>
        </w:rPr>
        <w:t xml:space="preserve"> er</w:t>
      </w:r>
      <w:r>
        <w:rPr>
          <w:rFonts w:cs="Times New Roman"/>
          <w:szCs w:val="24"/>
        </w:rPr>
        <w:t xml:space="preserve"> dótturfelag</w:t>
      </w:r>
      <w:r w:rsidR="003F310B">
        <w:rPr>
          <w:rFonts w:cs="Times New Roman"/>
          <w:szCs w:val="24"/>
        </w:rPr>
        <w:t>,</w:t>
      </w:r>
      <w:r>
        <w:rPr>
          <w:rFonts w:cs="Times New Roman"/>
          <w:szCs w:val="24"/>
        </w:rPr>
        <w:t xml:space="preserve"> ikki hevur tað neyðugu leiðsluligu sjálvstøðuna soleiðis, at tað er ein potentiellur vandi fyri, at tað verða gjørdar avtalur um skuldbindingar við eina aðra fyritøku (systurfyritøku) innanfyri samtøkuna, sum dótturfyritøkan ikki hevði gjørt eftir vanligum vinnuligum atlitum til egin áhugamál.</w:t>
      </w:r>
    </w:p>
    <w:p w:rsidR="00CD2C91" w:rsidRDefault="005A5C58" w:rsidP="006E04B6">
      <w:pPr>
        <w:rPr>
          <w:rFonts w:cs="Times New Roman"/>
          <w:szCs w:val="24"/>
        </w:rPr>
      </w:pPr>
      <w:r>
        <w:rPr>
          <w:rFonts w:cs="Times New Roman"/>
          <w:szCs w:val="24"/>
        </w:rPr>
        <w:t>Reglurnar</w:t>
      </w:r>
      <w:r w:rsidR="00C03906">
        <w:rPr>
          <w:rFonts w:cs="Times New Roman"/>
          <w:szCs w:val="24"/>
        </w:rPr>
        <w:t xml:space="preserve">, sum skotið verður upp at seta í </w:t>
      </w:r>
      <w:r w:rsidR="003F310B">
        <w:rPr>
          <w:rFonts w:cs="Times New Roman"/>
          <w:szCs w:val="24"/>
        </w:rPr>
        <w:t>tryggingarlógina</w:t>
      </w:r>
      <w:r w:rsidR="00C03906">
        <w:rPr>
          <w:rFonts w:cs="Times New Roman"/>
          <w:szCs w:val="24"/>
        </w:rPr>
        <w:t>,</w:t>
      </w:r>
      <w:r>
        <w:rPr>
          <w:rFonts w:cs="Times New Roman"/>
          <w:szCs w:val="24"/>
        </w:rPr>
        <w:t xml:space="preserve"> fevna um Betri P/F</w:t>
      </w:r>
      <w:r w:rsidR="00C61C7D">
        <w:rPr>
          <w:rFonts w:cs="Times New Roman"/>
          <w:szCs w:val="24"/>
        </w:rPr>
        <w:t>,</w:t>
      </w:r>
      <w:r>
        <w:rPr>
          <w:rFonts w:cs="Times New Roman"/>
          <w:szCs w:val="24"/>
        </w:rPr>
        <w:t xml:space="preserve"> men </w:t>
      </w:r>
      <w:r w:rsidR="00C61C7D">
        <w:rPr>
          <w:rFonts w:cs="Times New Roman"/>
          <w:szCs w:val="24"/>
        </w:rPr>
        <w:t xml:space="preserve">tær fevna </w:t>
      </w:r>
      <w:r>
        <w:rPr>
          <w:rFonts w:cs="Times New Roman"/>
          <w:szCs w:val="24"/>
        </w:rPr>
        <w:t>ikki um OT.</w:t>
      </w:r>
    </w:p>
    <w:p w:rsidR="00C03906" w:rsidRDefault="00CD2C91" w:rsidP="006E04B6">
      <w:pPr>
        <w:rPr>
          <w:rFonts w:cs="Times New Roman"/>
          <w:szCs w:val="24"/>
        </w:rPr>
      </w:pPr>
      <w:r>
        <w:rPr>
          <w:rFonts w:cs="Times New Roman"/>
          <w:szCs w:val="24"/>
        </w:rPr>
        <w:t>Mett verður, at tað er ein serligur samtøkuváði í OT</w:t>
      </w:r>
      <w:r w:rsidR="00C03906">
        <w:rPr>
          <w:rFonts w:cs="Times New Roman"/>
          <w:szCs w:val="24"/>
        </w:rPr>
        <w:t>, sum er knýttur at skuldbindingum millum OT og undirliggjandi feløgini í samtøkuni</w:t>
      </w:r>
      <w:r>
        <w:rPr>
          <w:rFonts w:cs="Times New Roman"/>
          <w:szCs w:val="24"/>
        </w:rPr>
        <w:t>, av tí at OT</w:t>
      </w:r>
      <w:r w:rsidR="005A5C58">
        <w:rPr>
          <w:rFonts w:cs="Times New Roman"/>
          <w:szCs w:val="24"/>
        </w:rPr>
        <w:t xml:space="preserve"> </w:t>
      </w:r>
      <w:r>
        <w:rPr>
          <w:rFonts w:cs="Times New Roman"/>
          <w:szCs w:val="24"/>
        </w:rPr>
        <w:t>bæði skal røkja áhugamálini hjá bankanum og hjá tryggingarfeløgunum</w:t>
      </w:r>
      <w:r w:rsidR="00C03906">
        <w:rPr>
          <w:rFonts w:cs="Times New Roman"/>
          <w:szCs w:val="24"/>
        </w:rPr>
        <w:t>. V</w:t>
      </w:r>
      <w:r>
        <w:rPr>
          <w:rFonts w:cs="Times New Roman"/>
          <w:szCs w:val="24"/>
        </w:rPr>
        <w:t xml:space="preserve">andi kann </w:t>
      </w:r>
      <w:r w:rsidR="00C61C7D">
        <w:rPr>
          <w:rFonts w:cs="Times New Roman"/>
          <w:szCs w:val="24"/>
        </w:rPr>
        <w:t xml:space="preserve">tí </w:t>
      </w:r>
      <w:r>
        <w:rPr>
          <w:rFonts w:cs="Times New Roman"/>
          <w:szCs w:val="24"/>
        </w:rPr>
        <w:t>verða fyri, at OT í t.d. eini kreppustøðu í bankanum veitir bankanum fíggjarliga hjálp við innskotið</w:t>
      </w:r>
      <w:r w:rsidR="00C03906">
        <w:rPr>
          <w:rFonts w:cs="Times New Roman"/>
          <w:szCs w:val="24"/>
        </w:rPr>
        <w:t xml:space="preserve"> ella aðra fíggjarliga</w:t>
      </w:r>
      <w:r w:rsidR="00C61C7D">
        <w:rPr>
          <w:rFonts w:cs="Times New Roman"/>
          <w:szCs w:val="24"/>
        </w:rPr>
        <w:t>ri</w:t>
      </w:r>
      <w:r w:rsidR="00C03906">
        <w:rPr>
          <w:rFonts w:cs="Times New Roman"/>
          <w:szCs w:val="24"/>
        </w:rPr>
        <w:t xml:space="preserve"> hjálp</w:t>
      </w:r>
      <w:r>
        <w:rPr>
          <w:rFonts w:cs="Times New Roman"/>
          <w:szCs w:val="24"/>
        </w:rPr>
        <w:t xml:space="preserve">, og fíggjar </w:t>
      </w:r>
      <w:r w:rsidR="00C03906">
        <w:rPr>
          <w:rFonts w:cs="Times New Roman"/>
          <w:szCs w:val="24"/>
        </w:rPr>
        <w:t xml:space="preserve">hetta </w:t>
      </w:r>
      <w:r>
        <w:rPr>
          <w:rFonts w:cs="Times New Roman"/>
          <w:szCs w:val="24"/>
        </w:rPr>
        <w:t xml:space="preserve">við lántøku við at veðseta partabrøvini í undirliggjandi tryggingarhaldfelagnum, sum felagið annars ikki hevði gjørt eftir vanligum vinnuligum atlitum til </w:t>
      </w:r>
      <w:r w:rsidR="00C61C7D">
        <w:rPr>
          <w:rFonts w:cs="Times New Roman"/>
          <w:szCs w:val="24"/>
        </w:rPr>
        <w:t xml:space="preserve">trygginarhaldfelagið og </w:t>
      </w:r>
      <w:r>
        <w:rPr>
          <w:rFonts w:cs="Times New Roman"/>
          <w:szCs w:val="24"/>
        </w:rPr>
        <w:t>tryggingarfeløgin</w:t>
      </w:r>
      <w:r w:rsidR="00C03906">
        <w:rPr>
          <w:rFonts w:cs="Times New Roman"/>
          <w:szCs w:val="24"/>
        </w:rPr>
        <w:t>i.</w:t>
      </w:r>
    </w:p>
    <w:p w:rsidR="00C03906" w:rsidRDefault="00C03906" w:rsidP="006E04B6">
      <w:pPr>
        <w:rPr>
          <w:rFonts w:cs="Times New Roman"/>
          <w:szCs w:val="24"/>
        </w:rPr>
      </w:pPr>
      <w:r>
        <w:rPr>
          <w:rFonts w:cs="Times New Roman"/>
          <w:szCs w:val="24"/>
        </w:rPr>
        <w:t>Skotið verður tí upp, at tað verður sett forboð fyri, at OT veitir lán o.a</w:t>
      </w:r>
      <w:r w:rsidR="003F310B">
        <w:rPr>
          <w:rFonts w:cs="Times New Roman"/>
          <w:szCs w:val="24"/>
        </w:rPr>
        <w:t>.</w:t>
      </w:r>
      <w:r>
        <w:rPr>
          <w:rFonts w:cs="Times New Roman"/>
          <w:szCs w:val="24"/>
        </w:rPr>
        <w:t>, til undirlig</w:t>
      </w:r>
      <w:r w:rsidR="003F310B">
        <w:rPr>
          <w:rFonts w:cs="Times New Roman"/>
          <w:szCs w:val="24"/>
        </w:rPr>
        <w:t>g</w:t>
      </w:r>
      <w:r>
        <w:rPr>
          <w:rFonts w:cs="Times New Roman"/>
          <w:szCs w:val="24"/>
        </w:rPr>
        <w:t>jandi feløg í Betri samtøkuni.</w:t>
      </w:r>
    </w:p>
    <w:p w:rsidR="00C61C7D" w:rsidRPr="00E44041" w:rsidRDefault="00C61C7D" w:rsidP="006E04B6">
      <w:pPr>
        <w:spacing w:after="0"/>
        <w:jc w:val="both"/>
        <w:rPr>
          <w:rFonts w:cs="Times New Roman"/>
          <w:i/>
          <w:szCs w:val="24"/>
        </w:rPr>
      </w:pPr>
      <w:r w:rsidRPr="00E44041">
        <w:rPr>
          <w:rFonts w:cs="Times New Roman"/>
          <w:i/>
          <w:szCs w:val="24"/>
        </w:rPr>
        <w:t>Stk. 3</w:t>
      </w:r>
      <w:r w:rsidR="00E44041" w:rsidRPr="00E44041">
        <w:rPr>
          <w:rFonts w:cs="Times New Roman"/>
          <w:i/>
          <w:szCs w:val="24"/>
        </w:rPr>
        <w:t xml:space="preserve"> </w:t>
      </w:r>
      <w:r w:rsidR="00E44041">
        <w:rPr>
          <w:rFonts w:cs="Times New Roman"/>
          <w:i/>
          <w:szCs w:val="24"/>
        </w:rPr>
        <w:t>-5</w:t>
      </w:r>
    </w:p>
    <w:p w:rsidR="00C61C7D" w:rsidRPr="00E44041" w:rsidRDefault="00C61C7D" w:rsidP="006E04B6">
      <w:pPr>
        <w:spacing w:after="0"/>
        <w:jc w:val="both"/>
        <w:rPr>
          <w:rFonts w:cs="Times New Roman"/>
          <w:i/>
          <w:szCs w:val="24"/>
        </w:rPr>
      </w:pPr>
    </w:p>
    <w:p w:rsidR="006E04B6" w:rsidRPr="006E04B6" w:rsidRDefault="006E04B6" w:rsidP="006E04B6">
      <w:pPr>
        <w:spacing w:after="0"/>
        <w:jc w:val="both"/>
        <w:rPr>
          <w:rFonts w:cs="Times New Roman"/>
          <w:szCs w:val="24"/>
        </w:rPr>
      </w:pPr>
      <w:r w:rsidRPr="006E04B6">
        <w:rPr>
          <w:rFonts w:cs="Times New Roman"/>
          <w:szCs w:val="24"/>
        </w:rPr>
        <w:t>Avmarkingar verða settar fyri persónsamanfalli í leiðsluni í feløgunum í Betri samtøkun</w:t>
      </w:r>
      <w:r w:rsidR="003F310B">
        <w:rPr>
          <w:rFonts w:cs="Times New Roman"/>
          <w:szCs w:val="24"/>
        </w:rPr>
        <w:t>i.</w:t>
      </w:r>
      <w:r w:rsidRPr="006E04B6">
        <w:rPr>
          <w:rFonts w:cs="Times New Roman"/>
          <w:szCs w:val="24"/>
        </w:rPr>
        <w:t xml:space="preserve"> </w:t>
      </w:r>
    </w:p>
    <w:p w:rsidR="00C61C7D" w:rsidRDefault="00C61C7D" w:rsidP="00BB2EF2">
      <w:pPr>
        <w:spacing w:after="0"/>
        <w:jc w:val="both"/>
        <w:rPr>
          <w:rFonts w:cs="Times New Roman"/>
          <w:szCs w:val="24"/>
        </w:rPr>
      </w:pPr>
    </w:p>
    <w:p w:rsidR="006E04B6" w:rsidRDefault="006E04B6" w:rsidP="00BB2EF2">
      <w:pPr>
        <w:spacing w:after="0"/>
        <w:jc w:val="both"/>
        <w:rPr>
          <w:rFonts w:cs="Times New Roman"/>
          <w:szCs w:val="24"/>
        </w:rPr>
      </w:pPr>
      <w:r w:rsidRPr="00883055">
        <w:rPr>
          <w:rFonts w:cs="Times New Roman"/>
          <w:szCs w:val="24"/>
        </w:rPr>
        <w:t>Stjóri í OT kann ikki vera nevndarformaður ella stjóri í dóttirfyritøkum hjá OT, t</w:t>
      </w:r>
      <w:r w:rsidR="00EF4CB9" w:rsidRPr="00883055">
        <w:rPr>
          <w:rFonts w:cs="Times New Roman"/>
          <w:szCs w:val="24"/>
        </w:rPr>
        <w:t>.</w:t>
      </w:r>
      <w:r w:rsidRPr="00883055">
        <w:rPr>
          <w:rFonts w:cs="Times New Roman"/>
          <w:szCs w:val="24"/>
        </w:rPr>
        <w:t>e</w:t>
      </w:r>
      <w:r w:rsidR="00EF4CB9" w:rsidRPr="00883055">
        <w:rPr>
          <w:rFonts w:cs="Times New Roman"/>
          <w:szCs w:val="24"/>
        </w:rPr>
        <w:t>.</w:t>
      </w:r>
      <w:r w:rsidRPr="00883055">
        <w:rPr>
          <w:rFonts w:cs="Times New Roman"/>
          <w:szCs w:val="24"/>
        </w:rPr>
        <w:t xml:space="preserve"> haldfyritøkum og undirliggjandi fyritøkum. </w:t>
      </w:r>
    </w:p>
    <w:p w:rsidR="00C61C7D" w:rsidRDefault="00C61C7D" w:rsidP="00C61C7D">
      <w:pPr>
        <w:spacing w:after="0"/>
        <w:jc w:val="both"/>
        <w:rPr>
          <w:rFonts w:cs="Times New Roman"/>
          <w:szCs w:val="24"/>
        </w:rPr>
      </w:pPr>
    </w:p>
    <w:p w:rsidR="00C61C7D" w:rsidRDefault="00C61C7D" w:rsidP="00C61C7D">
      <w:pPr>
        <w:spacing w:after="0"/>
        <w:jc w:val="both"/>
        <w:rPr>
          <w:rFonts w:cs="Times New Roman"/>
          <w:szCs w:val="24"/>
        </w:rPr>
      </w:pPr>
      <w:r>
        <w:rPr>
          <w:rFonts w:cs="Times New Roman"/>
          <w:szCs w:val="24"/>
        </w:rPr>
        <w:t>Í</w:t>
      </w:r>
      <w:r w:rsidR="003F310B">
        <w:rPr>
          <w:rFonts w:cs="Times New Roman"/>
          <w:szCs w:val="24"/>
        </w:rPr>
        <w:t xml:space="preserve"> heilt</w:t>
      </w:r>
      <w:r>
        <w:rPr>
          <w:rFonts w:cs="Times New Roman"/>
          <w:szCs w:val="24"/>
        </w:rPr>
        <w:t xml:space="preserve"> serligum førum </w:t>
      </w:r>
      <w:r w:rsidR="003F310B">
        <w:rPr>
          <w:rFonts w:cs="Times New Roman"/>
          <w:szCs w:val="24"/>
        </w:rPr>
        <w:t xml:space="preserve">kann verða veitt undantak, t.d. um </w:t>
      </w:r>
      <w:r>
        <w:rPr>
          <w:rFonts w:cs="Times New Roman"/>
          <w:szCs w:val="24"/>
        </w:rPr>
        <w:t xml:space="preserve">stjórin </w:t>
      </w:r>
      <w:r w:rsidR="003F310B">
        <w:rPr>
          <w:rFonts w:cs="Times New Roman"/>
          <w:szCs w:val="24"/>
        </w:rPr>
        <w:t>er sagdur úr starvi ella av að</w:t>
      </w:r>
      <w:r>
        <w:rPr>
          <w:rFonts w:cs="Times New Roman"/>
          <w:szCs w:val="24"/>
        </w:rPr>
        <w:t xml:space="preserve">rari </w:t>
      </w:r>
      <w:r w:rsidR="003F310B">
        <w:rPr>
          <w:rFonts w:cs="Times New Roman"/>
          <w:szCs w:val="24"/>
        </w:rPr>
        <w:t>orsøk</w:t>
      </w:r>
      <w:r>
        <w:rPr>
          <w:rFonts w:cs="Times New Roman"/>
          <w:szCs w:val="24"/>
        </w:rPr>
        <w:t xml:space="preserve"> ikki longur er førur fyri at røkja starvið. Undantaksloyvi kann verða givið fyri styttri tíðarskeið, sum kann verða longt, um serl</w:t>
      </w:r>
      <w:r w:rsidR="00E44041">
        <w:rPr>
          <w:rFonts w:cs="Times New Roman"/>
          <w:szCs w:val="24"/>
        </w:rPr>
        <w:t>ig</w:t>
      </w:r>
      <w:r>
        <w:rPr>
          <w:rFonts w:cs="Times New Roman"/>
          <w:szCs w:val="24"/>
        </w:rPr>
        <w:t>ar umstøður eru.</w:t>
      </w:r>
    </w:p>
    <w:p w:rsidR="00C61C7D" w:rsidRDefault="00C61C7D" w:rsidP="00C61C7D">
      <w:pPr>
        <w:spacing w:after="0"/>
        <w:jc w:val="both"/>
        <w:rPr>
          <w:rFonts w:cs="Times New Roman"/>
          <w:szCs w:val="24"/>
        </w:rPr>
      </w:pPr>
    </w:p>
    <w:p w:rsidR="00C61C7D" w:rsidRDefault="00C61C7D" w:rsidP="00C61C7D">
      <w:pPr>
        <w:spacing w:after="0"/>
        <w:jc w:val="both"/>
        <w:rPr>
          <w:rFonts w:cs="Times New Roman"/>
          <w:szCs w:val="24"/>
        </w:rPr>
      </w:pPr>
    </w:p>
    <w:p w:rsidR="00C61C7D" w:rsidRPr="00C61C7D" w:rsidRDefault="00C61C7D" w:rsidP="00C61C7D">
      <w:pPr>
        <w:spacing w:after="0"/>
        <w:jc w:val="both"/>
        <w:rPr>
          <w:rFonts w:cs="Times New Roman"/>
          <w:szCs w:val="24"/>
        </w:rPr>
      </w:pPr>
      <w:r w:rsidRPr="00C61C7D">
        <w:rPr>
          <w:rFonts w:cs="Times New Roman"/>
          <w:szCs w:val="24"/>
        </w:rPr>
        <w:t>Stjóri í tryggingarhaldfyritøku hjá OT kann ikki verða stjóri í bankahaldfyritøkuni hjá OT.</w:t>
      </w:r>
    </w:p>
    <w:p w:rsidR="00C61C7D" w:rsidRPr="00C61C7D" w:rsidRDefault="00C61C7D" w:rsidP="00C61C7D">
      <w:pPr>
        <w:spacing w:after="0"/>
        <w:jc w:val="both"/>
        <w:rPr>
          <w:rFonts w:cs="Times New Roman"/>
          <w:szCs w:val="24"/>
        </w:rPr>
      </w:pPr>
    </w:p>
    <w:p w:rsidR="00C61C7D" w:rsidRPr="00C61C7D" w:rsidRDefault="00C61C7D" w:rsidP="00C61C7D">
      <w:pPr>
        <w:spacing w:after="0"/>
        <w:jc w:val="both"/>
        <w:rPr>
          <w:rFonts w:cs="Times New Roman"/>
          <w:szCs w:val="24"/>
        </w:rPr>
      </w:pPr>
      <w:r w:rsidRPr="00C61C7D">
        <w:rPr>
          <w:rFonts w:cs="Times New Roman"/>
          <w:szCs w:val="24"/>
        </w:rPr>
        <w:t>Stjóri í Betri Trygging ella Betri Pensjón kann ikki vera stjóri í Betri Banka.</w:t>
      </w:r>
    </w:p>
    <w:p w:rsidR="00DB0760" w:rsidRDefault="00DB0760" w:rsidP="00DB0760">
      <w:pPr>
        <w:spacing w:after="0"/>
        <w:jc w:val="both"/>
        <w:rPr>
          <w:rFonts w:cs="Times New Roman"/>
          <w:szCs w:val="24"/>
        </w:rPr>
      </w:pPr>
    </w:p>
    <w:p w:rsidR="00DB0760" w:rsidRPr="00DB0760" w:rsidRDefault="00DB0760" w:rsidP="00DB0760">
      <w:pPr>
        <w:spacing w:after="0"/>
        <w:jc w:val="both"/>
        <w:rPr>
          <w:rFonts w:cs="Times New Roman"/>
          <w:szCs w:val="24"/>
        </w:rPr>
      </w:pPr>
      <w:r w:rsidRPr="00DB0760">
        <w:rPr>
          <w:rFonts w:cs="Times New Roman"/>
          <w:szCs w:val="24"/>
        </w:rPr>
        <w:t xml:space="preserve">Í § 57 í </w:t>
      </w:r>
      <w:r w:rsidR="003F310B">
        <w:rPr>
          <w:rFonts w:cs="Times New Roman"/>
          <w:szCs w:val="24"/>
        </w:rPr>
        <w:t>tryggingarlógini</w:t>
      </w:r>
      <w:r w:rsidRPr="00DB0760">
        <w:rPr>
          <w:rFonts w:cs="Times New Roman"/>
          <w:szCs w:val="24"/>
        </w:rPr>
        <w:t xml:space="preserve"> er ásett, at starvið sum nevndarlimur í einum tryggingarfelag kann ikki sameinast við starvið sum stjóri í tryggingarfelagnum. </w:t>
      </w:r>
      <w:r>
        <w:rPr>
          <w:rFonts w:cs="Times New Roman"/>
          <w:szCs w:val="24"/>
        </w:rPr>
        <w:t>Samsvar</w:t>
      </w:r>
      <w:r w:rsidR="003F310B">
        <w:rPr>
          <w:rFonts w:cs="Times New Roman"/>
          <w:szCs w:val="24"/>
        </w:rPr>
        <w:t>a</w:t>
      </w:r>
      <w:r>
        <w:rPr>
          <w:rFonts w:cs="Times New Roman"/>
          <w:szCs w:val="24"/>
        </w:rPr>
        <w:t xml:space="preserve">ndi áseting er í FIL. </w:t>
      </w:r>
      <w:r w:rsidRPr="00DB0760">
        <w:rPr>
          <w:rFonts w:cs="Times New Roman"/>
          <w:szCs w:val="24"/>
        </w:rPr>
        <w:t xml:space="preserve">Spurningurin um persónsamanfall í leiðsluni í ymsu feløgunum í eini </w:t>
      </w:r>
      <w:r w:rsidR="003F310B">
        <w:rPr>
          <w:rFonts w:cs="Times New Roman"/>
          <w:szCs w:val="24"/>
        </w:rPr>
        <w:t xml:space="preserve">fíggjarligari </w:t>
      </w:r>
      <w:r w:rsidRPr="00DB0760">
        <w:rPr>
          <w:rFonts w:cs="Times New Roman"/>
          <w:szCs w:val="24"/>
        </w:rPr>
        <w:t>samtøku er annars ikki nærri reguleraður í fíggjarligu lóggávuni.</w:t>
      </w:r>
    </w:p>
    <w:p w:rsidR="00DB0760" w:rsidRPr="00DB0760" w:rsidRDefault="00DB0760" w:rsidP="00DB0760">
      <w:pPr>
        <w:spacing w:after="0"/>
        <w:jc w:val="both"/>
        <w:rPr>
          <w:rFonts w:cs="Times New Roman"/>
          <w:szCs w:val="24"/>
        </w:rPr>
      </w:pPr>
    </w:p>
    <w:p w:rsidR="00DB0760" w:rsidRPr="00DB0760" w:rsidRDefault="00DB0760" w:rsidP="00DB0760">
      <w:pPr>
        <w:spacing w:after="0"/>
        <w:jc w:val="both"/>
        <w:rPr>
          <w:rFonts w:cs="Times New Roman"/>
          <w:szCs w:val="24"/>
        </w:rPr>
      </w:pPr>
      <w:r w:rsidRPr="00DB0760">
        <w:rPr>
          <w:rFonts w:cs="Times New Roman"/>
          <w:szCs w:val="24"/>
        </w:rPr>
        <w:t xml:space="preserve">Samtøkubygnaðurin í Betri er ein møguligur samtøkuváði við tað, at tað er persónsamanfall í leiðsluni bæði í OT, Betri P/F og teimum undirliggjandi rakstrarfeløgunum í samtøkuni, har stjórin í OT eisini er forstjóri í øllum </w:t>
      </w:r>
      <w:r w:rsidR="00777DE1">
        <w:rPr>
          <w:rFonts w:cs="Times New Roman"/>
          <w:szCs w:val="24"/>
        </w:rPr>
        <w:t xml:space="preserve">fíggjarligu </w:t>
      </w:r>
      <w:r w:rsidRPr="00DB0760">
        <w:rPr>
          <w:rFonts w:cs="Times New Roman"/>
          <w:szCs w:val="24"/>
        </w:rPr>
        <w:t>feløgunum.</w:t>
      </w:r>
    </w:p>
    <w:p w:rsidR="00DB0760" w:rsidRPr="00DB0760" w:rsidRDefault="00DB0760" w:rsidP="00DB0760">
      <w:pPr>
        <w:spacing w:after="0"/>
        <w:jc w:val="both"/>
        <w:rPr>
          <w:rFonts w:cs="Times New Roman"/>
          <w:szCs w:val="24"/>
        </w:rPr>
      </w:pPr>
    </w:p>
    <w:p w:rsidR="00DB0760" w:rsidRPr="00DB0760" w:rsidRDefault="00DB0760" w:rsidP="00DB0760">
      <w:pPr>
        <w:spacing w:after="0"/>
        <w:jc w:val="both"/>
        <w:rPr>
          <w:rFonts w:cs="Times New Roman"/>
          <w:szCs w:val="24"/>
        </w:rPr>
      </w:pPr>
      <w:r w:rsidRPr="00DB0760">
        <w:rPr>
          <w:rFonts w:cs="Times New Roman"/>
          <w:szCs w:val="24"/>
        </w:rPr>
        <w:t xml:space="preserve">Persónsamanfallið kann hava við sær, at einstøku feløgini í samtøkuni ikki hava ta neyðugu sjálvstøðu, sum skal til í eini kreppustøðu at forða fyri smittuvanda í samtøkuni, t.e. at trupulleikar í einum parti av samtøkuni breiða seg til aðrar partar. Tað kann tí verða vandi fyri, at t.d. ein bankakreppa breiðir seg til tryggingarpartin í samtøkuni. Tað kann hava við sær, at áhugamál tryggingartakaranna í OT og í Betri P/F koma í vanda og hava við sær minkandi álit á tryggingargeiran. </w:t>
      </w:r>
    </w:p>
    <w:p w:rsidR="00DB0760" w:rsidRPr="00DB0760" w:rsidRDefault="00DB0760" w:rsidP="00DB0760">
      <w:pPr>
        <w:spacing w:after="0"/>
        <w:jc w:val="both"/>
        <w:rPr>
          <w:rFonts w:cs="Times New Roman"/>
          <w:szCs w:val="24"/>
        </w:rPr>
      </w:pPr>
    </w:p>
    <w:p w:rsidR="00C61C7D" w:rsidRDefault="00DB0760" w:rsidP="00DB0760">
      <w:pPr>
        <w:spacing w:after="0"/>
        <w:jc w:val="both"/>
        <w:rPr>
          <w:rFonts w:cs="Times New Roman"/>
          <w:szCs w:val="24"/>
        </w:rPr>
      </w:pPr>
      <w:r w:rsidRPr="00DB0760">
        <w:rPr>
          <w:rFonts w:cs="Times New Roman"/>
          <w:szCs w:val="24"/>
        </w:rPr>
        <w:t>Tí verður skotið upp, at lóga</w:t>
      </w:r>
      <w:r w:rsidR="00777DE1">
        <w:rPr>
          <w:rFonts w:cs="Times New Roman"/>
          <w:szCs w:val="24"/>
        </w:rPr>
        <w:t>r</w:t>
      </w:r>
      <w:r w:rsidRPr="00DB0760">
        <w:rPr>
          <w:rFonts w:cs="Times New Roman"/>
          <w:szCs w:val="24"/>
        </w:rPr>
        <w:t>regulera hetta í vinnufyr</w:t>
      </w:r>
      <w:r w:rsidR="00777DE1">
        <w:rPr>
          <w:rFonts w:cs="Times New Roman"/>
          <w:szCs w:val="24"/>
        </w:rPr>
        <w:t>i</w:t>
      </w:r>
      <w:r w:rsidRPr="00DB0760">
        <w:rPr>
          <w:rFonts w:cs="Times New Roman"/>
          <w:szCs w:val="24"/>
        </w:rPr>
        <w:t>tøkulógini</w:t>
      </w:r>
      <w:r w:rsidR="00E44041">
        <w:rPr>
          <w:rFonts w:cs="Times New Roman"/>
          <w:szCs w:val="24"/>
        </w:rPr>
        <w:t>.</w:t>
      </w:r>
    </w:p>
    <w:p w:rsidR="00E44041" w:rsidRDefault="00E44041" w:rsidP="00DB0760">
      <w:pPr>
        <w:spacing w:after="0"/>
        <w:jc w:val="both"/>
        <w:rPr>
          <w:rFonts w:cs="Times New Roman"/>
          <w:szCs w:val="24"/>
        </w:rPr>
      </w:pPr>
    </w:p>
    <w:p w:rsidR="00E44041" w:rsidRPr="00A61F1D" w:rsidRDefault="00E44041" w:rsidP="00DB0760">
      <w:pPr>
        <w:spacing w:after="0"/>
        <w:jc w:val="both"/>
        <w:rPr>
          <w:rFonts w:cs="Times New Roman"/>
          <w:i/>
          <w:szCs w:val="24"/>
        </w:rPr>
      </w:pPr>
      <w:r w:rsidRPr="00A61F1D">
        <w:rPr>
          <w:rFonts w:cs="Times New Roman"/>
          <w:i/>
          <w:szCs w:val="24"/>
        </w:rPr>
        <w:t>Stk. 6</w:t>
      </w:r>
    </w:p>
    <w:p w:rsidR="00E44041" w:rsidRPr="00BB2EF2" w:rsidRDefault="00E44041" w:rsidP="00DB0760">
      <w:pPr>
        <w:spacing w:after="0"/>
        <w:jc w:val="both"/>
        <w:rPr>
          <w:rFonts w:cs="Times New Roman"/>
          <w:szCs w:val="24"/>
        </w:rPr>
      </w:pPr>
      <w:r>
        <w:rPr>
          <w:rFonts w:cs="Times New Roman"/>
          <w:szCs w:val="24"/>
        </w:rPr>
        <w:t xml:space="preserve">Skotið verður upp, at seta serlig krøv til tann førleika, sum samlað skal vera í nevndini í OT soleiðis, </w:t>
      </w:r>
      <w:r w:rsidRPr="00E44041">
        <w:rPr>
          <w:rFonts w:cs="Times New Roman"/>
          <w:szCs w:val="24"/>
        </w:rPr>
        <w:t>at nevndin hevur nóg stóra kollektiva vitan, fakligar førleikar og royndir til at tryggja fullgóðan rakst</w:t>
      </w:r>
      <w:r w:rsidR="00777DE1">
        <w:rPr>
          <w:rFonts w:cs="Times New Roman"/>
          <w:szCs w:val="24"/>
        </w:rPr>
        <w:t>ur av fyritøkuni sambært virkis</w:t>
      </w:r>
      <w:r w:rsidRPr="00E44041">
        <w:rPr>
          <w:rFonts w:cs="Times New Roman"/>
          <w:szCs w:val="24"/>
        </w:rPr>
        <w:t xml:space="preserve">modelli felagsins og tí váða, sum er tengdur at hesum.  </w:t>
      </w:r>
    </w:p>
    <w:p w:rsidR="00E44041" w:rsidRDefault="00E44041" w:rsidP="00E44041">
      <w:pPr>
        <w:tabs>
          <w:tab w:val="left" w:pos="1020"/>
        </w:tabs>
        <w:spacing w:after="0"/>
        <w:jc w:val="both"/>
        <w:rPr>
          <w:rFonts w:cs="Times New Roman"/>
          <w:szCs w:val="24"/>
        </w:rPr>
      </w:pPr>
    </w:p>
    <w:p w:rsidR="00A61F1D" w:rsidRPr="00A61F1D" w:rsidRDefault="00A61F1D" w:rsidP="00E44041">
      <w:pPr>
        <w:tabs>
          <w:tab w:val="left" w:pos="1020"/>
        </w:tabs>
        <w:spacing w:after="0"/>
        <w:jc w:val="both"/>
        <w:rPr>
          <w:rFonts w:cs="Times New Roman"/>
          <w:i/>
          <w:szCs w:val="24"/>
        </w:rPr>
      </w:pPr>
      <w:r w:rsidRPr="00A61F1D">
        <w:rPr>
          <w:rFonts w:cs="Times New Roman"/>
          <w:i/>
          <w:szCs w:val="24"/>
        </w:rPr>
        <w:t>Stk. 7.</w:t>
      </w:r>
    </w:p>
    <w:p w:rsidR="00A61F1D" w:rsidRPr="00A61F1D" w:rsidRDefault="00A61F1D" w:rsidP="00A61F1D">
      <w:pPr>
        <w:tabs>
          <w:tab w:val="left" w:pos="1020"/>
        </w:tabs>
        <w:spacing w:after="0"/>
        <w:jc w:val="both"/>
        <w:rPr>
          <w:rFonts w:cs="Times New Roman"/>
          <w:szCs w:val="24"/>
        </w:rPr>
      </w:pPr>
      <w:r>
        <w:rPr>
          <w:rFonts w:cs="Times New Roman"/>
          <w:szCs w:val="24"/>
        </w:rPr>
        <w:t>Skotið verður upp, at Tryggin</w:t>
      </w:r>
      <w:r w:rsidR="00777DE1">
        <w:rPr>
          <w:rFonts w:cs="Times New Roman"/>
          <w:szCs w:val="24"/>
        </w:rPr>
        <w:t>g</w:t>
      </w:r>
      <w:r>
        <w:rPr>
          <w:rFonts w:cs="Times New Roman"/>
          <w:szCs w:val="24"/>
        </w:rPr>
        <w:t xml:space="preserve">areftirlitið hevur eftirlit við, at </w:t>
      </w:r>
      <w:r w:rsidRPr="00A61F1D">
        <w:rPr>
          <w:rFonts w:cs="Times New Roman"/>
          <w:szCs w:val="24"/>
        </w:rPr>
        <w:t xml:space="preserve">reglurnar í </w:t>
      </w:r>
      <w:r>
        <w:rPr>
          <w:rFonts w:cs="Times New Roman"/>
          <w:szCs w:val="24"/>
        </w:rPr>
        <w:t>nýggju ásetingini í § 1 b</w:t>
      </w:r>
      <w:r w:rsidR="00777DE1">
        <w:rPr>
          <w:rFonts w:cs="Times New Roman"/>
          <w:szCs w:val="24"/>
        </w:rPr>
        <w:t xml:space="preserve"> í vinnufyritøkulógini</w:t>
      </w:r>
      <w:r>
        <w:rPr>
          <w:rFonts w:cs="Times New Roman"/>
          <w:szCs w:val="24"/>
        </w:rPr>
        <w:t>, og at k</w:t>
      </w:r>
      <w:r w:rsidRPr="00A61F1D">
        <w:rPr>
          <w:rFonts w:cs="Times New Roman"/>
          <w:szCs w:val="24"/>
        </w:rPr>
        <w:t>apittul 18 um eftirlit o.a. í løgtingslóg um tryggingarvirkemi verða nýttar samsvarandi við neyðugum tillagingum.</w:t>
      </w:r>
    </w:p>
    <w:p w:rsidR="00A61F1D" w:rsidRPr="00A61F1D" w:rsidRDefault="00A61F1D" w:rsidP="00A61F1D">
      <w:pPr>
        <w:tabs>
          <w:tab w:val="left" w:pos="1020"/>
        </w:tabs>
        <w:spacing w:after="0"/>
        <w:jc w:val="both"/>
        <w:rPr>
          <w:rFonts w:cs="Times New Roman"/>
          <w:szCs w:val="24"/>
        </w:rPr>
      </w:pPr>
    </w:p>
    <w:p w:rsidR="00A61F1D" w:rsidRDefault="00A61F1D" w:rsidP="00A61F1D">
      <w:pPr>
        <w:tabs>
          <w:tab w:val="left" w:pos="1020"/>
        </w:tabs>
        <w:spacing w:after="0"/>
        <w:jc w:val="both"/>
        <w:rPr>
          <w:rFonts w:cs="Times New Roman"/>
          <w:szCs w:val="24"/>
        </w:rPr>
      </w:pPr>
      <w:r>
        <w:rPr>
          <w:rFonts w:cs="Times New Roman"/>
          <w:szCs w:val="24"/>
        </w:rPr>
        <w:t xml:space="preserve">Til nr. </w:t>
      </w:r>
      <w:r w:rsidRPr="00A61F1D">
        <w:rPr>
          <w:rFonts w:cs="Times New Roman"/>
          <w:szCs w:val="24"/>
        </w:rPr>
        <w:t>2.</w:t>
      </w:r>
    </w:p>
    <w:p w:rsidR="00A61F1D" w:rsidRPr="00A61F1D" w:rsidRDefault="00A61F1D" w:rsidP="00A61F1D">
      <w:pPr>
        <w:tabs>
          <w:tab w:val="left" w:pos="1020"/>
        </w:tabs>
        <w:spacing w:after="0"/>
        <w:jc w:val="both"/>
        <w:rPr>
          <w:rFonts w:cs="Times New Roman"/>
          <w:szCs w:val="24"/>
        </w:rPr>
      </w:pPr>
      <w:r>
        <w:rPr>
          <w:rFonts w:cs="Times New Roman"/>
          <w:szCs w:val="24"/>
        </w:rPr>
        <w:t xml:space="preserve">Eftir uppskotinum verður </w:t>
      </w:r>
      <w:r w:rsidR="00B96E7A">
        <w:rPr>
          <w:rFonts w:cs="Times New Roman"/>
          <w:szCs w:val="24"/>
        </w:rPr>
        <w:t xml:space="preserve">revsiásetingin </w:t>
      </w:r>
      <w:r w:rsidR="00777DE1">
        <w:rPr>
          <w:rFonts w:cs="Times New Roman"/>
          <w:szCs w:val="24"/>
        </w:rPr>
        <w:t xml:space="preserve">§ </w:t>
      </w:r>
      <w:r w:rsidRPr="00A61F1D">
        <w:rPr>
          <w:rFonts w:cs="Times New Roman"/>
          <w:szCs w:val="24"/>
        </w:rPr>
        <w:t>23, stk. 1</w:t>
      </w:r>
      <w:r>
        <w:rPr>
          <w:rFonts w:cs="Times New Roman"/>
          <w:szCs w:val="24"/>
        </w:rPr>
        <w:t xml:space="preserve"> í vinnu</w:t>
      </w:r>
      <w:r w:rsidR="00B96E7A">
        <w:rPr>
          <w:rFonts w:cs="Times New Roman"/>
          <w:szCs w:val="24"/>
        </w:rPr>
        <w:t xml:space="preserve">fyritøkulógini broytt soleiðis, at </w:t>
      </w:r>
      <w:r w:rsidRPr="00A61F1D">
        <w:rPr>
          <w:rFonts w:cs="Times New Roman"/>
          <w:szCs w:val="24"/>
        </w:rPr>
        <w:t xml:space="preserve"> </w:t>
      </w:r>
      <w:r w:rsidR="00B96E7A">
        <w:rPr>
          <w:rFonts w:cs="Times New Roman"/>
          <w:szCs w:val="24"/>
        </w:rPr>
        <w:t>b</w:t>
      </w:r>
      <w:r w:rsidRPr="00A61F1D">
        <w:rPr>
          <w:rFonts w:cs="Times New Roman"/>
          <w:szCs w:val="24"/>
        </w:rPr>
        <w:t>rot á § 1 b verður revsað við bót</w:t>
      </w:r>
      <w:r w:rsidR="00B96E7A">
        <w:rPr>
          <w:rFonts w:cs="Times New Roman"/>
          <w:szCs w:val="24"/>
        </w:rPr>
        <w:t>, og at tann</w:t>
      </w:r>
      <w:r w:rsidRPr="00A61F1D">
        <w:rPr>
          <w:rFonts w:cs="Times New Roman"/>
          <w:szCs w:val="24"/>
        </w:rPr>
        <w:t xml:space="preserve">, sum ikki fylgir boðum givnum við heimild í § 1 b, </w:t>
      </w:r>
      <w:r w:rsidR="00B96E7A">
        <w:rPr>
          <w:rFonts w:cs="Times New Roman"/>
          <w:szCs w:val="24"/>
        </w:rPr>
        <w:t xml:space="preserve">eisini </w:t>
      </w:r>
      <w:r w:rsidRPr="00A61F1D">
        <w:rPr>
          <w:rFonts w:cs="Times New Roman"/>
          <w:szCs w:val="24"/>
        </w:rPr>
        <w:t>verður revsaður við bót.</w:t>
      </w:r>
    </w:p>
    <w:p w:rsidR="00A61F1D" w:rsidRPr="00A61F1D" w:rsidRDefault="00A61F1D" w:rsidP="00A61F1D">
      <w:pPr>
        <w:tabs>
          <w:tab w:val="left" w:pos="1020"/>
        </w:tabs>
        <w:spacing w:after="0"/>
        <w:jc w:val="both"/>
        <w:rPr>
          <w:rFonts w:cs="Times New Roman"/>
          <w:szCs w:val="24"/>
        </w:rPr>
      </w:pPr>
    </w:p>
    <w:p w:rsidR="00A61F1D" w:rsidRPr="00A61F1D" w:rsidRDefault="00A61F1D" w:rsidP="00A61F1D">
      <w:pPr>
        <w:tabs>
          <w:tab w:val="left" w:pos="1020"/>
        </w:tabs>
        <w:spacing w:after="0"/>
        <w:jc w:val="both"/>
        <w:rPr>
          <w:rFonts w:cs="Times New Roman"/>
          <w:szCs w:val="24"/>
        </w:rPr>
      </w:pPr>
    </w:p>
    <w:p w:rsidR="006E04B6" w:rsidRPr="00771B25" w:rsidRDefault="006E04B6" w:rsidP="00C94B40">
      <w:pPr>
        <w:spacing w:after="0"/>
        <w:jc w:val="both"/>
        <w:rPr>
          <w:rFonts w:cs="Times New Roman"/>
          <w:szCs w:val="24"/>
        </w:rPr>
      </w:pPr>
    </w:p>
    <w:p w:rsidR="00D10CE4" w:rsidRPr="00771B25" w:rsidRDefault="00D10CE4" w:rsidP="00C94B40">
      <w:pPr>
        <w:spacing w:after="0"/>
        <w:jc w:val="both"/>
        <w:rPr>
          <w:rFonts w:cs="Times New Roman"/>
          <w:b/>
          <w:szCs w:val="24"/>
        </w:rPr>
      </w:pPr>
      <w:r w:rsidRPr="00771B25">
        <w:rPr>
          <w:rFonts w:cs="Times New Roman"/>
          <w:b/>
          <w:szCs w:val="24"/>
        </w:rPr>
        <w:t>Til § 2</w:t>
      </w:r>
    </w:p>
    <w:p w:rsidR="00B96E7A" w:rsidRPr="00B96E7A" w:rsidRDefault="006E04B6" w:rsidP="00B96E7A">
      <w:pPr>
        <w:rPr>
          <w:rFonts w:cs="Times New Roman"/>
          <w:szCs w:val="24"/>
        </w:rPr>
      </w:pPr>
      <w:r>
        <w:rPr>
          <w:rFonts w:cs="Times New Roman"/>
          <w:szCs w:val="24"/>
        </w:rPr>
        <w:t xml:space="preserve">Skotið verður upp, at </w:t>
      </w:r>
      <w:r w:rsidR="00B96E7A">
        <w:rPr>
          <w:rFonts w:cs="Times New Roman"/>
          <w:szCs w:val="24"/>
        </w:rPr>
        <w:t>lógin fær gildi, tá hon er kunngjørd, og at Betri samtakið skal hava till</w:t>
      </w:r>
      <w:r w:rsidR="00777DE1">
        <w:rPr>
          <w:rFonts w:cs="Times New Roman"/>
          <w:szCs w:val="24"/>
        </w:rPr>
        <w:t>a</w:t>
      </w:r>
      <w:r w:rsidR="00B96E7A">
        <w:rPr>
          <w:rFonts w:cs="Times New Roman"/>
          <w:szCs w:val="24"/>
        </w:rPr>
        <w:t>ga</w:t>
      </w:r>
      <w:r w:rsidR="00777DE1">
        <w:rPr>
          <w:rFonts w:cs="Times New Roman"/>
          <w:szCs w:val="24"/>
        </w:rPr>
        <w:t>ð</w:t>
      </w:r>
      <w:r w:rsidR="00B96E7A">
        <w:rPr>
          <w:rFonts w:cs="Times New Roman"/>
          <w:szCs w:val="24"/>
        </w:rPr>
        <w:t xml:space="preserve"> bygnaðin í samtakinum til reglurnar í upp</w:t>
      </w:r>
      <w:r w:rsidR="00777DE1">
        <w:rPr>
          <w:rFonts w:cs="Times New Roman"/>
          <w:szCs w:val="24"/>
        </w:rPr>
        <w:t>skoti</w:t>
      </w:r>
      <w:r w:rsidR="00B96E7A">
        <w:rPr>
          <w:rFonts w:cs="Times New Roman"/>
          <w:szCs w:val="24"/>
        </w:rPr>
        <w:t xml:space="preserve">num </w:t>
      </w:r>
      <w:r w:rsidR="00B96E7A" w:rsidRPr="00B96E7A">
        <w:rPr>
          <w:rFonts w:cs="Times New Roman"/>
          <w:szCs w:val="24"/>
        </w:rPr>
        <w:t xml:space="preserve">í </w:t>
      </w:r>
      <w:r w:rsidR="00B96E7A">
        <w:rPr>
          <w:rFonts w:cs="Times New Roman"/>
          <w:szCs w:val="24"/>
        </w:rPr>
        <w:t>s</w:t>
      </w:r>
      <w:r w:rsidR="00B96E7A" w:rsidRPr="00B96E7A">
        <w:rPr>
          <w:rFonts w:cs="Times New Roman"/>
          <w:szCs w:val="24"/>
        </w:rPr>
        <w:t>einasta lagi 1. januar 2018.</w:t>
      </w:r>
    </w:p>
    <w:p w:rsidR="00B96E7A" w:rsidRDefault="00B96E7A" w:rsidP="00C94B40">
      <w:pPr>
        <w:spacing w:after="0"/>
        <w:jc w:val="both"/>
        <w:rPr>
          <w:rFonts w:cs="Times New Roman"/>
          <w:szCs w:val="24"/>
        </w:rPr>
      </w:pPr>
    </w:p>
    <w:p w:rsidR="00D10CE4" w:rsidRPr="00771B25" w:rsidRDefault="00D10CE4" w:rsidP="00C94B40">
      <w:pPr>
        <w:spacing w:after="0"/>
        <w:jc w:val="both"/>
        <w:rPr>
          <w:rFonts w:cs="Times New Roman"/>
          <w:szCs w:val="24"/>
        </w:rPr>
      </w:pPr>
    </w:p>
    <w:p w:rsidR="00F2565F" w:rsidRPr="00771B25" w:rsidRDefault="00F2565F" w:rsidP="00C94B40">
      <w:pPr>
        <w:spacing w:after="0"/>
        <w:jc w:val="both"/>
        <w:rPr>
          <w:rFonts w:cs="Times New Roman"/>
          <w:szCs w:val="24"/>
        </w:rPr>
      </w:pPr>
    </w:p>
    <w:p w:rsidR="00F2565F" w:rsidRPr="00771B25" w:rsidRDefault="00F2565F" w:rsidP="00C94B40">
      <w:pPr>
        <w:spacing w:after="0"/>
        <w:jc w:val="both"/>
        <w:rPr>
          <w:rFonts w:cs="Times New Roman"/>
          <w:szCs w:val="24"/>
        </w:rPr>
      </w:pPr>
    </w:p>
    <w:p w:rsidR="00E91F9E" w:rsidRPr="00771B25" w:rsidRDefault="00E91F9E" w:rsidP="00C94B40">
      <w:pPr>
        <w:spacing w:after="0"/>
        <w:jc w:val="both"/>
        <w:rPr>
          <w:rFonts w:cs="Times New Roman"/>
          <w:szCs w:val="24"/>
        </w:rPr>
      </w:pPr>
    </w:p>
    <w:p w:rsidR="00E91F9E" w:rsidRPr="00771B25" w:rsidRDefault="00E91F9E" w:rsidP="00C94B40">
      <w:pPr>
        <w:spacing w:after="0"/>
        <w:jc w:val="both"/>
        <w:rPr>
          <w:rFonts w:cs="Times New Roman"/>
          <w:szCs w:val="24"/>
        </w:rPr>
      </w:pPr>
    </w:p>
    <w:p w:rsidR="00E91F9E" w:rsidRPr="00771B25" w:rsidRDefault="00E91F9E" w:rsidP="00F2565F">
      <w:pPr>
        <w:spacing w:after="0"/>
        <w:rPr>
          <w:rFonts w:cs="Times New Roman"/>
          <w:szCs w:val="24"/>
        </w:rPr>
      </w:pPr>
    </w:p>
    <w:p w:rsidR="00E91F9E" w:rsidRPr="00771B25" w:rsidRDefault="006E04B6" w:rsidP="00E91F9E">
      <w:pPr>
        <w:spacing w:after="0"/>
        <w:jc w:val="center"/>
        <w:rPr>
          <w:rFonts w:cs="Times New Roman"/>
          <w:szCs w:val="24"/>
        </w:rPr>
      </w:pPr>
      <w:r>
        <w:rPr>
          <w:rFonts w:cs="Times New Roman"/>
          <w:szCs w:val="24"/>
        </w:rPr>
        <w:t>Uttanríkis- og vinnumálaráðið</w:t>
      </w:r>
      <w:r w:rsidR="00E91F9E" w:rsidRPr="00771B25">
        <w:rPr>
          <w:rFonts w:cs="Times New Roman"/>
          <w:szCs w:val="24"/>
        </w:rPr>
        <w:t xml:space="preserve">, </w:t>
      </w:r>
      <w:r>
        <w:rPr>
          <w:rFonts w:cs="Times New Roman"/>
          <w:szCs w:val="24"/>
        </w:rPr>
        <w:t xml:space="preserve">    2017</w:t>
      </w:r>
      <w:r w:rsidR="00E91F9E" w:rsidRPr="00771B25">
        <w:rPr>
          <w:rFonts w:cs="Times New Roman"/>
          <w:szCs w:val="24"/>
        </w:rPr>
        <w:t>.</w:t>
      </w:r>
    </w:p>
    <w:p w:rsidR="00F2565F" w:rsidRPr="00771B25" w:rsidRDefault="00F2565F" w:rsidP="00C4281B">
      <w:pPr>
        <w:spacing w:after="0"/>
        <w:jc w:val="center"/>
        <w:rPr>
          <w:rFonts w:cs="Times New Roman"/>
          <w:szCs w:val="24"/>
        </w:rPr>
      </w:pPr>
    </w:p>
    <w:p w:rsidR="00C4281B" w:rsidRPr="00771B25" w:rsidRDefault="006E04B6" w:rsidP="00C4281B">
      <w:pPr>
        <w:spacing w:after="0"/>
        <w:jc w:val="center"/>
        <w:rPr>
          <w:rFonts w:cs="Times New Roman"/>
          <w:b/>
          <w:szCs w:val="24"/>
        </w:rPr>
      </w:pPr>
      <w:r>
        <w:rPr>
          <w:rFonts w:cs="Times New Roman"/>
          <w:b/>
          <w:szCs w:val="24"/>
        </w:rPr>
        <w:t xml:space="preserve">Poul Michelsen </w:t>
      </w:r>
    </w:p>
    <w:p w:rsidR="00C4281B" w:rsidRPr="00771B25" w:rsidRDefault="00C4281B" w:rsidP="00C4281B">
      <w:pPr>
        <w:spacing w:after="0"/>
        <w:jc w:val="center"/>
        <w:rPr>
          <w:rFonts w:cs="Times New Roman"/>
          <w:szCs w:val="24"/>
        </w:rPr>
      </w:pPr>
      <w:r w:rsidRPr="00771B25">
        <w:rPr>
          <w:rFonts w:cs="Times New Roman"/>
          <w:szCs w:val="24"/>
        </w:rPr>
        <w:t>landsstýrismaður</w:t>
      </w:r>
    </w:p>
    <w:p w:rsidR="00C4281B" w:rsidRPr="00771B25" w:rsidRDefault="00C4281B" w:rsidP="00C4281B">
      <w:pPr>
        <w:spacing w:after="0"/>
        <w:jc w:val="right"/>
        <w:rPr>
          <w:rFonts w:cs="Times New Roman"/>
          <w:szCs w:val="24"/>
        </w:rPr>
      </w:pPr>
    </w:p>
    <w:p w:rsidR="00C4281B" w:rsidRPr="00771B25" w:rsidRDefault="005B3879" w:rsidP="00C4281B">
      <w:pPr>
        <w:spacing w:after="0"/>
        <w:jc w:val="right"/>
        <w:rPr>
          <w:rFonts w:cs="Times New Roman"/>
          <w:szCs w:val="24"/>
        </w:rPr>
      </w:pPr>
      <w:r w:rsidRPr="00771B25">
        <w:rPr>
          <w:rFonts w:cs="Times New Roman"/>
          <w:szCs w:val="24"/>
        </w:rPr>
        <w:t xml:space="preserve">/ </w:t>
      </w:r>
      <w:r w:rsidR="006E04B6">
        <w:rPr>
          <w:rFonts w:cs="Times New Roman"/>
          <w:szCs w:val="24"/>
        </w:rPr>
        <w:t>Herálvur Joensen</w:t>
      </w:r>
    </w:p>
    <w:p w:rsidR="00A577CF" w:rsidRPr="00771B25" w:rsidRDefault="00A577CF" w:rsidP="00C4281B">
      <w:pPr>
        <w:spacing w:after="0"/>
        <w:jc w:val="right"/>
        <w:rPr>
          <w:rFonts w:cs="Times New Roman"/>
          <w:szCs w:val="24"/>
        </w:rPr>
      </w:pPr>
    </w:p>
    <w:p w:rsidR="00A577CF" w:rsidRPr="00771B25" w:rsidRDefault="00A577CF" w:rsidP="00A577CF">
      <w:pPr>
        <w:spacing w:after="0"/>
        <w:rPr>
          <w:rFonts w:cs="Times New Roman"/>
          <w:szCs w:val="24"/>
        </w:rPr>
      </w:pPr>
    </w:p>
    <w:p w:rsidR="00EB2650" w:rsidRPr="00771B25" w:rsidRDefault="00EB2650" w:rsidP="00086403">
      <w:pPr>
        <w:spacing w:after="0"/>
        <w:rPr>
          <w:rFonts w:cs="Times New Roman"/>
          <w:szCs w:val="24"/>
        </w:rPr>
      </w:pPr>
    </w:p>
    <w:sectPr w:rsidR="00EB2650" w:rsidRPr="00771B25" w:rsidSect="00D229E8">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77" w:rsidRDefault="00097377" w:rsidP="003A5FF5">
      <w:pPr>
        <w:spacing w:after="0"/>
      </w:pPr>
      <w:r>
        <w:separator/>
      </w:r>
    </w:p>
  </w:endnote>
  <w:endnote w:type="continuationSeparator" w:id="0">
    <w:p w:rsidR="00097377" w:rsidRDefault="00097377"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94924"/>
      <w:docPartObj>
        <w:docPartGallery w:val="Page Numbers (Bottom of Page)"/>
        <w:docPartUnique/>
      </w:docPartObj>
    </w:sdtPr>
    <w:sdtEndPr/>
    <w:sdtContent>
      <w:p w:rsidR="00174F5C" w:rsidRDefault="00174F5C">
        <w:pPr>
          <w:pStyle w:val="Sidefod"/>
          <w:jc w:val="center"/>
        </w:pPr>
        <w:r>
          <w:fldChar w:fldCharType="begin"/>
        </w:r>
        <w:r>
          <w:instrText>PAGE   \* MERGEFORMAT</w:instrText>
        </w:r>
        <w:r>
          <w:fldChar w:fldCharType="separate"/>
        </w:r>
        <w:r w:rsidR="00E81B71" w:rsidRPr="00E81B71">
          <w:rPr>
            <w:noProof/>
            <w:lang w:val="da-DK"/>
          </w:rPr>
          <w:t>2</w:t>
        </w:r>
        <w:r>
          <w:fldChar w:fldCharType="end"/>
        </w:r>
      </w:p>
    </w:sdtContent>
  </w:sdt>
  <w:p w:rsidR="00174F5C" w:rsidRDefault="00174F5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77" w:rsidRDefault="00097377" w:rsidP="003A5FF5">
      <w:pPr>
        <w:spacing w:after="0"/>
      </w:pPr>
      <w:r>
        <w:separator/>
      </w:r>
    </w:p>
  </w:footnote>
  <w:footnote w:type="continuationSeparator" w:id="0">
    <w:p w:rsidR="00097377" w:rsidRDefault="00097377" w:rsidP="003A5F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5C" w:rsidRPr="002B1F15" w:rsidRDefault="00174F5C">
    <w:pPr>
      <w:pStyle w:val="Sidehoved"/>
      <w:rPr>
        <w:szCs w:val="24"/>
      </w:rPr>
    </w:pPr>
  </w:p>
  <w:p w:rsidR="00174F5C" w:rsidRPr="002B1F15" w:rsidRDefault="00174F5C">
    <w:pPr>
      <w:pStyle w:val="Sidehoved"/>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5C" w:rsidRPr="001B5E54" w:rsidRDefault="00174F5C" w:rsidP="001B5E54">
    <w:pPr>
      <w:pStyle w:val="Sidehoved"/>
      <w:spacing w:before="240"/>
      <w:rPr>
        <w:rFonts w:cs="Times New Roman"/>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5C" w:rsidRPr="00DA32B2" w:rsidRDefault="00174F5C">
    <w:pPr>
      <w:pStyle w:val="Sidehoved"/>
      <w:rPr>
        <w:rFonts w:cs="Times New Roman"/>
        <w:szCs w:val="24"/>
      </w:rPr>
    </w:pPr>
  </w:p>
  <w:p w:rsidR="00174F5C" w:rsidRPr="00DA32B2" w:rsidRDefault="00174F5C">
    <w:pPr>
      <w:pStyle w:val="Sidehoved"/>
      <w:rPr>
        <w:rFonts w:cs="Times New Roman"/>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5C" w:rsidRPr="00DA32B2" w:rsidRDefault="00174F5C"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5C" w:rsidRDefault="00174F5C">
    <w:pPr>
      <w:pStyle w:val="Sidehoved"/>
    </w:pPr>
  </w:p>
  <w:p w:rsidR="00174F5C" w:rsidRDefault="00174F5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BA5"/>
    <w:multiLevelType w:val="hybridMultilevel"/>
    <w:tmpl w:val="83561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2F4761"/>
    <w:multiLevelType w:val="hybridMultilevel"/>
    <w:tmpl w:val="38DCA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6F0FF2"/>
    <w:multiLevelType w:val="hybridMultilevel"/>
    <w:tmpl w:val="F31AF25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C071FD"/>
    <w:multiLevelType w:val="hybridMultilevel"/>
    <w:tmpl w:val="7AA0B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D6753"/>
    <w:multiLevelType w:val="hybridMultilevel"/>
    <w:tmpl w:val="5806552C"/>
    <w:lvl w:ilvl="0" w:tplc="933025C6">
      <w:start w:val="1"/>
      <w:numFmt w:val="decimal"/>
      <w:lvlText w:val="%1."/>
      <w:lvlJc w:val="left"/>
      <w:pPr>
        <w:ind w:left="720" w:hanging="360"/>
      </w:pPr>
      <w:rPr>
        <w:rFonts w:hint="default"/>
        <w:caps w:val="0"/>
        <w:strike w:val="0"/>
        <w:dstrike w:val="0"/>
        <w:vanish w:val="0"/>
        <w:kern w:val="2"/>
        <w:vertAlign w:val="baseline"/>
        <w14:cntxtAlt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B46307"/>
    <w:multiLevelType w:val="hybridMultilevel"/>
    <w:tmpl w:val="7D7EB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F38641D"/>
    <w:multiLevelType w:val="hybridMultilevel"/>
    <w:tmpl w:val="D0341B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E47512"/>
    <w:multiLevelType w:val="hybridMultilevel"/>
    <w:tmpl w:val="06EA8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9"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0"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1" w15:restartNumberingAfterBreak="0">
    <w:nsid w:val="64A01488"/>
    <w:multiLevelType w:val="hybridMultilevel"/>
    <w:tmpl w:val="CBB20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E63FAB"/>
    <w:multiLevelType w:val="hybridMultilevel"/>
    <w:tmpl w:val="9AF8CD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30A1CF2"/>
    <w:multiLevelType w:val="hybridMultilevel"/>
    <w:tmpl w:val="57EC59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5" w15:restartNumberingAfterBreak="0">
    <w:nsid w:val="77FC57D7"/>
    <w:multiLevelType w:val="hybridMultilevel"/>
    <w:tmpl w:val="24461318"/>
    <w:lvl w:ilvl="0" w:tplc="933025C6">
      <w:start w:val="1"/>
      <w:numFmt w:val="decimal"/>
      <w:lvlText w:val="%1."/>
      <w:lvlJc w:val="left"/>
      <w:pPr>
        <w:ind w:left="720" w:hanging="360"/>
      </w:pPr>
      <w:rPr>
        <w:rFonts w:hint="default"/>
        <w:caps w:val="0"/>
        <w:strike w:val="0"/>
        <w:dstrike w:val="0"/>
        <w:vanish w:val="0"/>
        <w:kern w:val="2"/>
        <w:vertAlign w:val="baseline"/>
        <w14:cntxtAlt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C021F0"/>
    <w:multiLevelType w:val="hybridMultilevel"/>
    <w:tmpl w:val="56AA0B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4"/>
  </w:num>
  <w:num w:numId="5">
    <w:abstractNumId w:val="11"/>
  </w:num>
  <w:num w:numId="6">
    <w:abstractNumId w:val="0"/>
  </w:num>
  <w:num w:numId="7">
    <w:abstractNumId w:val="7"/>
  </w:num>
  <w:num w:numId="8">
    <w:abstractNumId w:val="13"/>
  </w:num>
  <w:num w:numId="9">
    <w:abstractNumId w:val="2"/>
  </w:num>
  <w:num w:numId="10">
    <w:abstractNumId w:val="4"/>
  </w:num>
  <w:num w:numId="11">
    <w:abstractNumId w:val="15"/>
  </w:num>
  <w:num w:numId="12">
    <w:abstractNumId w:val="16"/>
  </w:num>
  <w:num w:numId="13">
    <w:abstractNumId w:val="3"/>
  </w:num>
  <w:num w:numId="14">
    <w:abstractNumId w:val="1"/>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0E"/>
    <w:rsid w:val="00000BEA"/>
    <w:rsid w:val="00010CB1"/>
    <w:rsid w:val="000122E0"/>
    <w:rsid w:val="000133CB"/>
    <w:rsid w:val="00015E7F"/>
    <w:rsid w:val="000168A4"/>
    <w:rsid w:val="00023E5F"/>
    <w:rsid w:val="000274D4"/>
    <w:rsid w:val="00035C9D"/>
    <w:rsid w:val="0004472A"/>
    <w:rsid w:val="000447FF"/>
    <w:rsid w:val="00044B9C"/>
    <w:rsid w:val="00046F0D"/>
    <w:rsid w:val="00050EE9"/>
    <w:rsid w:val="00053D77"/>
    <w:rsid w:val="000638FA"/>
    <w:rsid w:val="00086403"/>
    <w:rsid w:val="00092757"/>
    <w:rsid w:val="000934CA"/>
    <w:rsid w:val="000948B4"/>
    <w:rsid w:val="00097377"/>
    <w:rsid w:val="000A3A49"/>
    <w:rsid w:val="000A4072"/>
    <w:rsid w:val="000B25E3"/>
    <w:rsid w:val="000B681F"/>
    <w:rsid w:val="000C0935"/>
    <w:rsid w:val="000C13C9"/>
    <w:rsid w:val="000C26A3"/>
    <w:rsid w:val="000C31D1"/>
    <w:rsid w:val="000C33C9"/>
    <w:rsid w:val="000C5AD0"/>
    <w:rsid w:val="000C5B17"/>
    <w:rsid w:val="000C61E3"/>
    <w:rsid w:val="000D2DDB"/>
    <w:rsid w:val="000E030E"/>
    <w:rsid w:val="000E0B30"/>
    <w:rsid w:val="000E27A0"/>
    <w:rsid w:val="000E3179"/>
    <w:rsid w:val="000E3369"/>
    <w:rsid w:val="000E4A98"/>
    <w:rsid w:val="000E5A36"/>
    <w:rsid w:val="000E5C3E"/>
    <w:rsid w:val="000F5064"/>
    <w:rsid w:val="000F5F41"/>
    <w:rsid w:val="000F68B4"/>
    <w:rsid w:val="00100769"/>
    <w:rsid w:val="0010185F"/>
    <w:rsid w:val="00114FB8"/>
    <w:rsid w:val="0011679C"/>
    <w:rsid w:val="001229F7"/>
    <w:rsid w:val="001330EA"/>
    <w:rsid w:val="00133E72"/>
    <w:rsid w:val="00135121"/>
    <w:rsid w:val="00147277"/>
    <w:rsid w:val="00153B34"/>
    <w:rsid w:val="00153D85"/>
    <w:rsid w:val="001540F5"/>
    <w:rsid w:val="001650D5"/>
    <w:rsid w:val="00174F5C"/>
    <w:rsid w:val="00176B86"/>
    <w:rsid w:val="00184827"/>
    <w:rsid w:val="00184D6D"/>
    <w:rsid w:val="001A279E"/>
    <w:rsid w:val="001A54FD"/>
    <w:rsid w:val="001B5E54"/>
    <w:rsid w:val="001C2F55"/>
    <w:rsid w:val="001C4017"/>
    <w:rsid w:val="001C4BE9"/>
    <w:rsid w:val="001C56D0"/>
    <w:rsid w:val="001D115C"/>
    <w:rsid w:val="001D2CB1"/>
    <w:rsid w:val="001D61CD"/>
    <w:rsid w:val="001F6EAF"/>
    <w:rsid w:val="001F739F"/>
    <w:rsid w:val="00207F62"/>
    <w:rsid w:val="0022227E"/>
    <w:rsid w:val="00227916"/>
    <w:rsid w:val="002449A2"/>
    <w:rsid w:val="00246BFB"/>
    <w:rsid w:val="002514DB"/>
    <w:rsid w:val="0025385F"/>
    <w:rsid w:val="00255773"/>
    <w:rsid w:val="00264D63"/>
    <w:rsid w:val="00266E9D"/>
    <w:rsid w:val="0027698C"/>
    <w:rsid w:val="00277BB8"/>
    <w:rsid w:val="0028586E"/>
    <w:rsid w:val="002A36B8"/>
    <w:rsid w:val="002B1F15"/>
    <w:rsid w:val="002C2A21"/>
    <w:rsid w:val="002C7E06"/>
    <w:rsid w:val="002D2F37"/>
    <w:rsid w:val="002D3D2D"/>
    <w:rsid w:val="002D6CB5"/>
    <w:rsid w:val="002E2C70"/>
    <w:rsid w:val="002F228C"/>
    <w:rsid w:val="002F6E05"/>
    <w:rsid w:val="00304EDA"/>
    <w:rsid w:val="00305ED2"/>
    <w:rsid w:val="0031539E"/>
    <w:rsid w:val="00320C77"/>
    <w:rsid w:val="00327312"/>
    <w:rsid w:val="00343C12"/>
    <w:rsid w:val="003452F1"/>
    <w:rsid w:val="00356BCF"/>
    <w:rsid w:val="00361CF6"/>
    <w:rsid w:val="00370861"/>
    <w:rsid w:val="00380999"/>
    <w:rsid w:val="003812FF"/>
    <w:rsid w:val="003814D6"/>
    <w:rsid w:val="00384FE8"/>
    <w:rsid w:val="0039221A"/>
    <w:rsid w:val="003928E0"/>
    <w:rsid w:val="003A312A"/>
    <w:rsid w:val="003A43FF"/>
    <w:rsid w:val="003A52DD"/>
    <w:rsid w:val="003A5FF5"/>
    <w:rsid w:val="003A716C"/>
    <w:rsid w:val="003B44DD"/>
    <w:rsid w:val="003C6A61"/>
    <w:rsid w:val="003D385E"/>
    <w:rsid w:val="003E0D87"/>
    <w:rsid w:val="003F21D5"/>
    <w:rsid w:val="003F310B"/>
    <w:rsid w:val="00400256"/>
    <w:rsid w:val="004039D6"/>
    <w:rsid w:val="0040470F"/>
    <w:rsid w:val="00406C28"/>
    <w:rsid w:val="0041278C"/>
    <w:rsid w:val="00422D16"/>
    <w:rsid w:val="00423E46"/>
    <w:rsid w:val="00425520"/>
    <w:rsid w:val="0043362C"/>
    <w:rsid w:val="00436C74"/>
    <w:rsid w:val="0045456D"/>
    <w:rsid w:val="00455C9A"/>
    <w:rsid w:val="00457696"/>
    <w:rsid w:val="00457B27"/>
    <w:rsid w:val="00460D90"/>
    <w:rsid w:val="00462AC1"/>
    <w:rsid w:val="00463C1E"/>
    <w:rsid w:val="00464E42"/>
    <w:rsid w:val="00473382"/>
    <w:rsid w:val="00475251"/>
    <w:rsid w:val="00491748"/>
    <w:rsid w:val="00492EB4"/>
    <w:rsid w:val="004A2D09"/>
    <w:rsid w:val="004A5BC3"/>
    <w:rsid w:val="004B1EA8"/>
    <w:rsid w:val="004B2B69"/>
    <w:rsid w:val="004B3042"/>
    <w:rsid w:val="004C01E3"/>
    <w:rsid w:val="004C1845"/>
    <w:rsid w:val="004C7854"/>
    <w:rsid w:val="004D1110"/>
    <w:rsid w:val="004F0F50"/>
    <w:rsid w:val="004F1B14"/>
    <w:rsid w:val="004F6C06"/>
    <w:rsid w:val="0050180E"/>
    <w:rsid w:val="005061E4"/>
    <w:rsid w:val="005068D8"/>
    <w:rsid w:val="00511554"/>
    <w:rsid w:val="00517216"/>
    <w:rsid w:val="00520208"/>
    <w:rsid w:val="00520C59"/>
    <w:rsid w:val="0053064C"/>
    <w:rsid w:val="005308D3"/>
    <w:rsid w:val="00534B5A"/>
    <w:rsid w:val="005471B0"/>
    <w:rsid w:val="00551D89"/>
    <w:rsid w:val="00551F59"/>
    <w:rsid w:val="00552EB5"/>
    <w:rsid w:val="00563EB7"/>
    <w:rsid w:val="00565139"/>
    <w:rsid w:val="00566880"/>
    <w:rsid w:val="00573BD5"/>
    <w:rsid w:val="005808CC"/>
    <w:rsid w:val="00582BE9"/>
    <w:rsid w:val="00583A13"/>
    <w:rsid w:val="005A0F86"/>
    <w:rsid w:val="005A34E4"/>
    <w:rsid w:val="005A4328"/>
    <w:rsid w:val="005A5C58"/>
    <w:rsid w:val="005B3879"/>
    <w:rsid w:val="005C26C3"/>
    <w:rsid w:val="005C2D1A"/>
    <w:rsid w:val="005C2E93"/>
    <w:rsid w:val="005C39A9"/>
    <w:rsid w:val="005C5CE3"/>
    <w:rsid w:val="005C7ECC"/>
    <w:rsid w:val="005D0D30"/>
    <w:rsid w:val="005D6AB2"/>
    <w:rsid w:val="005E33F6"/>
    <w:rsid w:val="005E5360"/>
    <w:rsid w:val="005F0A52"/>
    <w:rsid w:val="005F7961"/>
    <w:rsid w:val="00602045"/>
    <w:rsid w:val="00602AEF"/>
    <w:rsid w:val="00603997"/>
    <w:rsid w:val="00604A80"/>
    <w:rsid w:val="006166C1"/>
    <w:rsid w:val="0062609A"/>
    <w:rsid w:val="00656DB8"/>
    <w:rsid w:val="006610C2"/>
    <w:rsid w:val="006642ED"/>
    <w:rsid w:val="006654E6"/>
    <w:rsid w:val="006754FD"/>
    <w:rsid w:val="00680E34"/>
    <w:rsid w:val="006847A0"/>
    <w:rsid w:val="006855F3"/>
    <w:rsid w:val="0069064A"/>
    <w:rsid w:val="00692307"/>
    <w:rsid w:val="006932C9"/>
    <w:rsid w:val="006944BF"/>
    <w:rsid w:val="006A052D"/>
    <w:rsid w:val="006A0E1D"/>
    <w:rsid w:val="006C6588"/>
    <w:rsid w:val="006C7B64"/>
    <w:rsid w:val="006D0141"/>
    <w:rsid w:val="006E04B6"/>
    <w:rsid w:val="006E2D6E"/>
    <w:rsid w:val="007038B8"/>
    <w:rsid w:val="00722B74"/>
    <w:rsid w:val="00740ACD"/>
    <w:rsid w:val="0074306B"/>
    <w:rsid w:val="00745D4A"/>
    <w:rsid w:val="00746B18"/>
    <w:rsid w:val="007501DE"/>
    <w:rsid w:val="0075025A"/>
    <w:rsid w:val="0076665D"/>
    <w:rsid w:val="00770A17"/>
    <w:rsid w:val="00771B25"/>
    <w:rsid w:val="00773B88"/>
    <w:rsid w:val="0077428F"/>
    <w:rsid w:val="00775626"/>
    <w:rsid w:val="00775F2B"/>
    <w:rsid w:val="00777DE1"/>
    <w:rsid w:val="0079199C"/>
    <w:rsid w:val="007B1DEC"/>
    <w:rsid w:val="007B2776"/>
    <w:rsid w:val="007B2A2C"/>
    <w:rsid w:val="007B6E71"/>
    <w:rsid w:val="007C1C04"/>
    <w:rsid w:val="007C21E3"/>
    <w:rsid w:val="007D3481"/>
    <w:rsid w:val="007D5B26"/>
    <w:rsid w:val="007E0848"/>
    <w:rsid w:val="007F30AD"/>
    <w:rsid w:val="00801913"/>
    <w:rsid w:val="00806D41"/>
    <w:rsid w:val="0080742C"/>
    <w:rsid w:val="00823533"/>
    <w:rsid w:val="00823566"/>
    <w:rsid w:val="008302A0"/>
    <w:rsid w:val="0083092D"/>
    <w:rsid w:val="00831F7E"/>
    <w:rsid w:val="00834A49"/>
    <w:rsid w:val="00841D5A"/>
    <w:rsid w:val="0084540C"/>
    <w:rsid w:val="008457DE"/>
    <w:rsid w:val="008470A3"/>
    <w:rsid w:val="008538D7"/>
    <w:rsid w:val="00861201"/>
    <w:rsid w:val="00861768"/>
    <w:rsid w:val="00863EE0"/>
    <w:rsid w:val="00871900"/>
    <w:rsid w:val="00876D2D"/>
    <w:rsid w:val="00883055"/>
    <w:rsid w:val="008A0855"/>
    <w:rsid w:val="008B219C"/>
    <w:rsid w:val="008B21B2"/>
    <w:rsid w:val="008B34D9"/>
    <w:rsid w:val="008B5E8C"/>
    <w:rsid w:val="008B6B55"/>
    <w:rsid w:val="008C1080"/>
    <w:rsid w:val="008C1DFC"/>
    <w:rsid w:val="008C2493"/>
    <w:rsid w:val="008C3FAF"/>
    <w:rsid w:val="008C5493"/>
    <w:rsid w:val="008E30A8"/>
    <w:rsid w:val="008E4219"/>
    <w:rsid w:val="008E6070"/>
    <w:rsid w:val="008E610F"/>
    <w:rsid w:val="008F74CF"/>
    <w:rsid w:val="00903C4B"/>
    <w:rsid w:val="00914A2A"/>
    <w:rsid w:val="0092039A"/>
    <w:rsid w:val="0092590F"/>
    <w:rsid w:val="00925A7E"/>
    <w:rsid w:val="00930912"/>
    <w:rsid w:val="0093386F"/>
    <w:rsid w:val="0093428B"/>
    <w:rsid w:val="00934D57"/>
    <w:rsid w:val="00935C49"/>
    <w:rsid w:val="009406F8"/>
    <w:rsid w:val="00941693"/>
    <w:rsid w:val="009657E3"/>
    <w:rsid w:val="009735B6"/>
    <w:rsid w:val="00974632"/>
    <w:rsid w:val="00985FA5"/>
    <w:rsid w:val="00986B87"/>
    <w:rsid w:val="0099053D"/>
    <w:rsid w:val="009A2669"/>
    <w:rsid w:val="009B0FB9"/>
    <w:rsid w:val="009B1416"/>
    <w:rsid w:val="009B33BC"/>
    <w:rsid w:val="009B3BDD"/>
    <w:rsid w:val="009B6E5A"/>
    <w:rsid w:val="009B79D3"/>
    <w:rsid w:val="009C0ABB"/>
    <w:rsid w:val="009C2088"/>
    <w:rsid w:val="009C318C"/>
    <w:rsid w:val="009C3E65"/>
    <w:rsid w:val="009C5EFA"/>
    <w:rsid w:val="009C5FD3"/>
    <w:rsid w:val="009C6AA5"/>
    <w:rsid w:val="009D457C"/>
    <w:rsid w:val="009D4DA1"/>
    <w:rsid w:val="009D5988"/>
    <w:rsid w:val="009D6A6C"/>
    <w:rsid w:val="009E1FE3"/>
    <w:rsid w:val="009E60EF"/>
    <w:rsid w:val="009F14D3"/>
    <w:rsid w:val="009F2423"/>
    <w:rsid w:val="00A02A86"/>
    <w:rsid w:val="00A047C8"/>
    <w:rsid w:val="00A1284B"/>
    <w:rsid w:val="00A16870"/>
    <w:rsid w:val="00A17140"/>
    <w:rsid w:val="00A3189A"/>
    <w:rsid w:val="00A34211"/>
    <w:rsid w:val="00A46E7B"/>
    <w:rsid w:val="00A46FDE"/>
    <w:rsid w:val="00A50498"/>
    <w:rsid w:val="00A53425"/>
    <w:rsid w:val="00A53AF7"/>
    <w:rsid w:val="00A54D65"/>
    <w:rsid w:val="00A576ED"/>
    <w:rsid w:val="00A577CF"/>
    <w:rsid w:val="00A61F1D"/>
    <w:rsid w:val="00A64D60"/>
    <w:rsid w:val="00A65B90"/>
    <w:rsid w:val="00A73EA1"/>
    <w:rsid w:val="00A8484C"/>
    <w:rsid w:val="00A8797E"/>
    <w:rsid w:val="00A906E3"/>
    <w:rsid w:val="00A92CE3"/>
    <w:rsid w:val="00A9350B"/>
    <w:rsid w:val="00A93ADC"/>
    <w:rsid w:val="00A97051"/>
    <w:rsid w:val="00AA09DA"/>
    <w:rsid w:val="00AA1EF6"/>
    <w:rsid w:val="00AA4164"/>
    <w:rsid w:val="00AA77E9"/>
    <w:rsid w:val="00AB4262"/>
    <w:rsid w:val="00AB5C0C"/>
    <w:rsid w:val="00AC07AB"/>
    <w:rsid w:val="00AD04B2"/>
    <w:rsid w:val="00AD179E"/>
    <w:rsid w:val="00AD3BB7"/>
    <w:rsid w:val="00AE05B4"/>
    <w:rsid w:val="00AE25D1"/>
    <w:rsid w:val="00AE73BD"/>
    <w:rsid w:val="00AF0DF5"/>
    <w:rsid w:val="00B02CAA"/>
    <w:rsid w:val="00B21AD0"/>
    <w:rsid w:val="00B27DDB"/>
    <w:rsid w:val="00B313F2"/>
    <w:rsid w:val="00B40416"/>
    <w:rsid w:val="00B43D06"/>
    <w:rsid w:val="00B5206A"/>
    <w:rsid w:val="00B62B14"/>
    <w:rsid w:val="00B62CFD"/>
    <w:rsid w:val="00B64ADF"/>
    <w:rsid w:val="00B65189"/>
    <w:rsid w:val="00B72A84"/>
    <w:rsid w:val="00B90291"/>
    <w:rsid w:val="00B92717"/>
    <w:rsid w:val="00B933A3"/>
    <w:rsid w:val="00B96E7A"/>
    <w:rsid w:val="00BA22D0"/>
    <w:rsid w:val="00BB2D52"/>
    <w:rsid w:val="00BB2EF2"/>
    <w:rsid w:val="00BB6385"/>
    <w:rsid w:val="00BC43C2"/>
    <w:rsid w:val="00BC7F37"/>
    <w:rsid w:val="00BD2CAA"/>
    <w:rsid w:val="00BD2D5E"/>
    <w:rsid w:val="00BD2D8E"/>
    <w:rsid w:val="00BE22CB"/>
    <w:rsid w:val="00BE5D35"/>
    <w:rsid w:val="00BF333D"/>
    <w:rsid w:val="00BF69A4"/>
    <w:rsid w:val="00C01AA9"/>
    <w:rsid w:val="00C02A7D"/>
    <w:rsid w:val="00C03906"/>
    <w:rsid w:val="00C07723"/>
    <w:rsid w:val="00C10B7B"/>
    <w:rsid w:val="00C15BAD"/>
    <w:rsid w:val="00C16F07"/>
    <w:rsid w:val="00C2209C"/>
    <w:rsid w:val="00C31DD2"/>
    <w:rsid w:val="00C33DD2"/>
    <w:rsid w:val="00C41EDD"/>
    <w:rsid w:val="00C4281B"/>
    <w:rsid w:val="00C44713"/>
    <w:rsid w:val="00C4677C"/>
    <w:rsid w:val="00C507D7"/>
    <w:rsid w:val="00C52E0D"/>
    <w:rsid w:val="00C56C45"/>
    <w:rsid w:val="00C60A1D"/>
    <w:rsid w:val="00C61C7D"/>
    <w:rsid w:val="00C627A8"/>
    <w:rsid w:val="00C64A9B"/>
    <w:rsid w:val="00C65B06"/>
    <w:rsid w:val="00C675BA"/>
    <w:rsid w:val="00C84DD8"/>
    <w:rsid w:val="00C85148"/>
    <w:rsid w:val="00C91D61"/>
    <w:rsid w:val="00C94B40"/>
    <w:rsid w:val="00C95460"/>
    <w:rsid w:val="00C95A4E"/>
    <w:rsid w:val="00C95E8E"/>
    <w:rsid w:val="00CC3C33"/>
    <w:rsid w:val="00CC779E"/>
    <w:rsid w:val="00CD0A8C"/>
    <w:rsid w:val="00CD2C91"/>
    <w:rsid w:val="00CD63AD"/>
    <w:rsid w:val="00D0457F"/>
    <w:rsid w:val="00D04E40"/>
    <w:rsid w:val="00D10CE4"/>
    <w:rsid w:val="00D11735"/>
    <w:rsid w:val="00D11EB5"/>
    <w:rsid w:val="00D1261B"/>
    <w:rsid w:val="00D14A23"/>
    <w:rsid w:val="00D20BB7"/>
    <w:rsid w:val="00D20DEA"/>
    <w:rsid w:val="00D22728"/>
    <w:rsid w:val="00D229E8"/>
    <w:rsid w:val="00D354E5"/>
    <w:rsid w:val="00D42DA6"/>
    <w:rsid w:val="00D44515"/>
    <w:rsid w:val="00D45046"/>
    <w:rsid w:val="00D46102"/>
    <w:rsid w:val="00D47B18"/>
    <w:rsid w:val="00D53C04"/>
    <w:rsid w:val="00D54D84"/>
    <w:rsid w:val="00D601A5"/>
    <w:rsid w:val="00D725B9"/>
    <w:rsid w:val="00D77BA6"/>
    <w:rsid w:val="00D857F0"/>
    <w:rsid w:val="00D86A46"/>
    <w:rsid w:val="00D86DC7"/>
    <w:rsid w:val="00D90E8D"/>
    <w:rsid w:val="00D9285B"/>
    <w:rsid w:val="00D96CCF"/>
    <w:rsid w:val="00D96E70"/>
    <w:rsid w:val="00D97232"/>
    <w:rsid w:val="00D97974"/>
    <w:rsid w:val="00DA32B2"/>
    <w:rsid w:val="00DA43B0"/>
    <w:rsid w:val="00DB0760"/>
    <w:rsid w:val="00DB5CCE"/>
    <w:rsid w:val="00DB6CA6"/>
    <w:rsid w:val="00DE4574"/>
    <w:rsid w:val="00DE5673"/>
    <w:rsid w:val="00DF4644"/>
    <w:rsid w:val="00E067C5"/>
    <w:rsid w:val="00E13791"/>
    <w:rsid w:val="00E17A83"/>
    <w:rsid w:val="00E20280"/>
    <w:rsid w:val="00E435CB"/>
    <w:rsid w:val="00E44041"/>
    <w:rsid w:val="00E50744"/>
    <w:rsid w:val="00E57574"/>
    <w:rsid w:val="00E770D7"/>
    <w:rsid w:val="00E80958"/>
    <w:rsid w:val="00E81B71"/>
    <w:rsid w:val="00E90765"/>
    <w:rsid w:val="00E91105"/>
    <w:rsid w:val="00E91F9E"/>
    <w:rsid w:val="00E95299"/>
    <w:rsid w:val="00E97352"/>
    <w:rsid w:val="00EA1B3E"/>
    <w:rsid w:val="00EA5003"/>
    <w:rsid w:val="00EA500F"/>
    <w:rsid w:val="00EB2650"/>
    <w:rsid w:val="00EB62E2"/>
    <w:rsid w:val="00EC2245"/>
    <w:rsid w:val="00EC5008"/>
    <w:rsid w:val="00ED0A64"/>
    <w:rsid w:val="00ED7A20"/>
    <w:rsid w:val="00EE7F26"/>
    <w:rsid w:val="00EF4CB9"/>
    <w:rsid w:val="00F110D7"/>
    <w:rsid w:val="00F1418A"/>
    <w:rsid w:val="00F151C7"/>
    <w:rsid w:val="00F1615D"/>
    <w:rsid w:val="00F2565F"/>
    <w:rsid w:val="00F36633"/>
    <w:rsid w:val="00F477B9"/>
    <w:rsid w:val="00F478DE"/>
    <w:rsid w:val="00F538C3"/>
    <w:rsid w:val="00F60BFD"/>
    <w:rsid w:val="00F6790C"/>
    <w:rsid w:val="00F77BF6"/>
    <w:rsid w:val="00F82BF5"/>
    <w:rsid w:val="00F85AA0"/>
    <w:rsid w:val="00F874AE"/>
    <w:rsid w:val="00F905C6"/>
    <w:rsid w:val="00F967E0"/>
    <w:rsid w:val="00FA2AA0"/>
    <w:rsid w:val="00FA4D67"/>
    <w:rsid w:val="00FB26B2"/>
    <w:rsid w:val="00FC1825"/>
    <w:rsid w:val="00FD2BE2"/>
    <w:rsid w:val="00FD5DC7"/>
    <w:rsid w:val="00FD64F6"/>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9F8686A-62A1-4200-BFE3-F4CC1787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Kommentarhenvisning">
    <w:name w:val="annotation reference"/>
    <w:basedOn w:val="Standardskrifttypeiafsnit"/>
    <w:uiPriority w:val="99"/>
    <w:semiHidden/>
    <w:unhideWhenUsed/>
    <w:rsid w:val="00BC7F37"/>
    <w:rPr>
      <w:sz w:val="16"/>
      <w:szCs w:val="16"/>
    </w:rPr>
  </w:style>
  <w:style w:type="paragraph" w:styleId="Kommentartekst">
    <w:name w:val="annotation text"/>
    <w:basedOn w:val="Normal"/>
    <w:link w:val="KommentartekstTegn"/>
    <w:uiPriority w:val="99"/>
    <w:semiHidden/>
    <w:unhideWhenUsed/>
    <w:rsid w:val="00BC7F37"/>
    <w:rPr>
      <w:sz w:val="20"/>
      <w:szCs w:val="20"/>
    </w:rPr>
  </w:style>
  <w:style w:type="character" w:customStyle="1" w:styleId="KommentartekstTegn">
    <w:name w:val="Kommentartekst Tegn"/>
    <w:basedOn w:val="Standardskrifttypeiafsnit"/>
    <w:link w:val="Kommentartekst"/>
    <w:uiPriority w:val="99"/>
    <w:semiHidden/>
    <w:rsid w:val="00BC7F37"/>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BC7F37"/>
    <w:rPr>
      <w:b/>
      <w:bCs/>
    </w:rPr>
  </w:style>
  <w:style w:type="character" w:customStyle="1" w:styleId="KommentaremneTegn">
    <w:name w:val="Kommentaremne Tegn"/>
    <w:basedOn w:val="KommentartekstTegn"/>
    <w:link w:val="Kommentaremne"/>
    <w:uiPriority w:val="99"/>
    <w:semiHidden/>
    <w:rsid w:val="00BC7F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32038\AppData\Local\Microsoft\Windows\INetCache\Content.Outlook\UBL67O25\Uppskot%20til%20l&#248;gtingsl&#243;g%20um%20broyting%20&#237;%20vinnufyrit&#248;kul&#243;gin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794E414A6C4B6EA58609947D81EEB4"/>
        <w:category>
          <w:name w:val="Generelt"/>
          <w:gallery w:val="placeholder"/>
        </w:category>
        <w:types>
          <w:type w:val="bbPlcHdr"/>
        </w:types>
        <w:behaviors>
          <w:behavior w:val="content"/>
        </w:behaviors>
        <w:guid w:val="{B256DA82-3475-4885-97ED-75020E0239D2}"/>
      </w:docPartPr>
      <w:docPartBody>
        <w:p w:rsidR="00D77D4F" w:rsidRDefault="00626D97">
          <w:pPr>
            <w:pStyle w:val="0E794E414A6C4B6EA58609947D81EEB4"/>
          </w:pPr>
          <w:r w:rsidRPr="00E82B03">
            <w:rPr>
              <w:rStyle w:val="Pladsholdertekst"/>
            </w:rPr>
            <w:t>Choose an item.</w:t>
          </w:r>
        </w:p>
      </w:docPartBody>
    </w:docPart>
    <w:docPart>
      <w:docPartPr>
        <w:name w:val="B0845B7A4FAD4E93AB89F6E2F0F25A61"/>
        <w:category>
          <w:name w:val="Generelt"/>
          <w:gallery w:val="placeholder"/>
        </w:category>
        <w:types>
          <w:type w:val="bbPlcHdr"/>
        </w:types>
        <w:behaviors>
          <w:behavior w:val="content"/>
        </w:behaviors>
        <w:guid w:val="{027CEAC6-FED7-40C5-95A5-1FD584EDD9F7}"/>
      </w:docPartPr>
      <w:docPartBody>
        <w:p w:rsidR="00D77D4F" w:rsidRDefault="00626D97">
          <w:pPr>
            <w:pStyle w:val="B0845B7A4FAD4E93AB89F6E2F0F25A61"/>
          </w:pPr>
          <w:r w:rsidRPr="00E82B03">
            <w:rPr>
              <w:rStyle w:val="Pladsholdertekst"/>
            </w:rPr>
            <w:t>Choose an item.</w:t>
          </w:r>
        </w:p>
      </w:docPartBody>
    </w:docPart>
    <w:docPart>
      <w:docPartPr>
        <w:name w:val="C66B0AC2590D4F3AA78672DEF4D69E3D"/>
        <w:category>
          <w:name w:val="Generelt"/>
          <w:gallery w:val="placeholder"/>
        </w:category>
        <w:types>
          <w:type w:val="bbPlcHdr"/>
        </w:types>
        <w:behaviors>
          <w:behavior w:val="content"/>
        </w:behaviors>
        <w:guid w:val="{E18ED9D0-CA70-46DA-87BD-DC5BFB740B8B}"/>
      </w:docPartPr>
      <w:docPartBody>
        <w:p w:rsidR="00D77D4F" w:rsidRDefault="00626D97">
          <w:pPr>
            <w:pStyle w:val="C66B0AC2590D4F3AA78672DEF4D69E3D"/>
          </w:pPr>
          <w:r w:rsidRPr="00E82B03">
            <w:rPr>
              <w:rStyle w:val="Pladsholdertekst"/>
            </w:rPr>
            <w:t>Choose an item.</w:t>
          </w:r>
        </w:p>
      </w:docPartBody>
    </w:docPart>
    <w:docPart>
      <w:docPartPr>
        <w:name w:val="CBF9140793F9408A9FC56C6985293A5B"/>
        <w:category>
          <w:name w:val="Generelt"/>
          <w:gallery w:val="placeholder"/>
        </w:category>
        <w:types>
          <w:type w:val="bbPlcHdr"/>
        </w:types>
        <w:behaviors>
          <w:behavior w:val="content"/>
        </w:behaviors>
        <w:guid w:val="{3427AA33-D3B7-47B2-9C86-5BF8206FF359}"/>
      </w:docPartPr>
      <w:docPartBody>
        <w:p w:rsidR="00D77D4F" w:rsidRDefault="00626D97">
          <w:pPr>
            <w:pStyle w:val="CBF9140793F9408A9FC56C6985293A5B"/>
          </w:pPr>
          <w:r w:rsidRPr="00E82B03">
            <w:rPr>
              <w:rStyle w:val="Pladsholdertekst"/>
            </w:rPr>
            <w:t>Choose an item.</w:t>
          </w:r>
        </w:p>
      </w:docPartBody>
    </w:docPart>
    <w:docPart>
      <w:docPartPr>
        <w:name w:val="377A5135674E4691ABE617890B88AA81"/>
        <w:category>
          <w:name w:val="Generelt"/>
          <w:gallery w:val="placeholder"/>
        </w:category>
        <w:types>
          <w:type w:val="bbPlcHdr"/>
        </w:types>
        <w:behaviors>
          <w:behavior w:val="content"/>
        </w:behaviors>
        <w:guid w:val="{D55ED188-787B-4A31-BB2B-2510E4E0F537}"/>
      </w:docPartPr>
      <w:docPartBody>
        <w:p w:rsidR="00D77D4F" w:rsidRDefault="00626D97">
          <w:pPr>
            <w:pStyle w:val="377A5135674E4691ABE617890B88AA81"/>
          </w:pPr>
          <w:r w:rsidRPr="00E82B03">
            <w:rPr>
              <w:rStyle w:val="Pladsholdertekst"/>
            </w:rPr>
            <w:t>Choose an item.</w:t>
          </w:r>
        </w:p>
      </w:docPartBody>
    </w:docPart>
    <w:docPart>
      <w:docPartPr>
        <w:name w:val="3481A445D6C048FABA04984BC845C8F6"/>
        <w:category>
          <w:name w:val="Generelt"/>
          <w:gallery w:val="placeholder"/>
        </w:category>
        <w:types>
          <w:type w:val="bbPlcHdr"/>
        </w:types>
        <w:behaviors>
          <w:behavior w:val="content"/>
        </w:behaviors>
        <w:guid w:val="{0BC77CF8-5773-4B47-A070-66AD2A244449}"/>
      </w:docPartPr>
      <w:docPartBody>
        <w:p w:rsidR="00D77D4F" w:rsidRDefault="00626D97">
          <w:pPr>
            <w:pStyle w:val="3481A445D6C048FABA04984BC845C8F6"/>
          </w:pPr>
          <w:r w:rsidRPr="00E82B03">
            <w:rPr>
              <w:rStyle w:val="Pladsholdertekst"/>
            </w:rPr>
            <w:t>Choose an item.</w:t>
          </w:r>
        </w:p>
      </w:docPartBody>
    </w:docPart>
    <w:docPart>
      <w:docPartPr>
        <w:name w:val="3B52F9BE67D84BDFB4FF454406EE304D"/>
        <w:category>
          <w:name w:val="Generelt"/>
          <w:gallery w:val="placeholder"/>
        </w:category>
        <w:types>
          <w:type w:val="bbPlcHdr"/>
        </w:types>
        <w:behaviors>
          <w:behavior w:val="content"/>
        </w:behaviors>
        <w:guid w:val="{48E427E6-E346-44F0-B9BF-55D0D17EA34D}"/>
      </w:docPartPr>
      <w:docPartBody>
        <w:p w:rsidR="00D77D4F" w:rsidRDefault="00626D97">
          <w:pPr>
            <w:pStyle w:val="3B52F9BE67D84BDFB4FF454406EE304D"/>
          </w:pPr>
          <w:r w:rsidRPr="00E82B03">
            <w:rPr>
              <w:rStyle w:val="Pladsholdertekst"/>
            </w:rPr>
            <w:t>Choose an item.</w:t>
          </w:r>
        </w:p>
      </w:docPartBody>
    </w:docPart>
    <w:docPart>
      <w:docPartPr>
        <w:name w:val="022A63F9ED124B81AE25825156BFBFEB"/>
        <w:category>
          <w:name w:val="Generelt"/>
          <w:gallery w:val="placeholder"/>
        </w:category>
        <w:types>
          <w:type w:val="bbPlcHdr"/>
        </w:types>
        <w:behaviors>
          <w:behavior w:val="content"/>
        </w:behaviors>
        <w:guid w:val="{0EA332AD-982A-4AB6-AB9E-39D329FF77D1}"/>
      </w:docPartPr>
      <w:docPartBody>
        <w:p w:rsidR="00D77D4F" w:rsidRDefault="00626D97">
          <w:pPr>
            <w:pStyle w:val="022A63F9ED124B81AE25825156BFBFEB"/>
          </w:pPr>
          <w:r w:rsidRPr="00E82B03">
            <w:rPr>
              <w:rStyle w:val="Pladsholdertekst"/>
            </w:rPr>
            <w:t>Choose an item.</w:t>
          </w:r>
        </w:p>
      </w:docPartBody>
    </w:docPart>
    <w:docPart>
      <w:docPartPr>
        <w:name w:val="E677A9D0D9D44818AB781EDF9BDB60F7"/>
        <w:category>
          <w:name w:val="Generelt"/>
          <w:gallery w:val="placeholder"/>
        </w:category>
        <w:types>
          <w:type w:val="bbPlcHdr"/>
        </w:types>
        <w:behaviors>
          <w:behavior w:val="content"/>
        </w:behaviors>
        <w:guid w:val="{EFC4B317-D703-4118-81AB-40B815A84828}"/>
      </w:docPartPr>
      <w:docPartBody>
        <w:p w:rsidR="00D77D4F" w:rsidRDefault="00626D97">
          <w:pPr>
            <w:pStyle w:val="E677A9D0D9D44818AB781EDF9BDB60F7"/>
          </w:pPr>
          <w:r w:rsidRPr="00E82B03">
            <w:rPr>
              <w:rStyle w:val="Pladsholdertekst"/>
            </w:rPr>
            <w:t>Choose an item.</w:t>
          </w:r>
        </w:p>
      </w:docPartBody>
    </w:docPart>
    <w:docPart>
      <w:docPartPr>
        <w:name w:val="EF07A0607A044052AE5B375D1315EB41"/>
        <w:category>
          <w:name w:val="Generelt"/>
          <w:gallery w:val="placeholder"/>
        </w:category>
        <w:types>
          <w:type w:val="bbPlcHdr"/>
        </w:types>
        <w:behaviors>
          <w:behavior w:val="content"/>
        </w:behaviors>
        <w:guid w:val="{95335A2A-1E10-4ECC-AAD9-4BD594F92E88}"/>
      </w:docPartPr>
      <w:docPartBody>
        <w:p w:rsidR="00D77D4F" w:rsidRDefault="00626D97">
          <w:pPr>
            <w:pStyle w:val="EF07A0607A044052AE5B375D1315EB41"/>
          </w:pPr>
          <w:r w:rsidRPr="00E82B03">
            <w:rPr>
              <w:rStyle w:val="Pladsholdertekst"/>
            </w:rPr>
            <w:t>Choose an item.</w:t>
          </w:r>
        </w:p>
      </w:docPartBody>
    </w:docPart>
    <w:docPart>
      <w:docPartPr>
        <w:name w:val="ED814AEEDEFE45928AC9B2639F504B64"/>
        <w:category>
          <w:name w:val="Generelt"/>
          <w:gallery w:val="placeholder"/>
        </w:category>
        <w:types>
          <w:type w:val="bbPlcHdr"/>
        </w:types>
        <w:behaviors>
          <w:behavior w:val="content"/>
        </w:behaviors>
        <w:guid w:val="{A757F373-F83E-4540-9F47-4A6D00FC4087}"/>
      </w:docPartPr>
      <w:docPartBody>
        <w:p w:rsidR="00D77D4F" w:rsidRDefault="00626D97">
          <w:pPr>
            <w:pStyle w:val="ED814AEEDEFE45928AC9B2639F504B64"/>
          </w:pPr>
          <w:r w:rsidRPr="00E82B03">
            <w:rPr>
              <w:rStyle w:val="Pladsholdertekst"/>
            </w:rPr>
            <w:t>Choose an item.</w:t>
          </w:r>
        </w:p>
      </w:docPartBody>
    </w:docPart>
    <w:docPart>
      <w:docPartPr>
        <w:name w:val="D3B523D2859D4124BC7C54B0A79634A4"/>
        <w:category>
          <w:name w:val="Generelt"/>
          <w:gallery w:val="placeholder"/>
        </w:category>
        <w:types>
          <w:type w:val="bbPlcHdr"/>
        </w:types>
        <w:behaviors>
          <w:behavior w:val="content"/>
        </w:behaviors>
        <w:guid w:val="{34EAC56B-F775-46F8-AE1A-E059F323FBD5}"/>
      </w:docPartPr>
      <w:docPartBody>
        <w:p w:rsidR="00D77D4F" w:rsidRDefault="00626D97">
          <w:pPr>
            <w:pStyle w:val="D3B523D2859D4124BC7C54B0A79634A4"/>
          </w:pPr>
          <w:r w:rsidRPr="00E82B03">
            <w:rPr>
              <w:rStyle w:val="Pladsholdertekst"/>
            </w:rPr>
            <w:t>Choose an item.</w:t>
          </w:r>
        </w:p>
      </w:docPartBody>
    </w:docPart>
    <w:docPart>
      <w:docPartPr>
        <w:name w:val="6051A2D261D4404DAD67FE4B2B88D75E"/>
        <w:category>
          <w:name w:val="Generelt"/>
          <w:gallery w:val="placeholder"/>
        </w:category>
        <w:types>
          <w:type w:val="bbPlcHdr"/>
        </w:types>
        <w:behaviors>
          <w:behavior w:val="content"/>
        </w:behaviors>
        <w:guid w:val="{6F0C0CAA-457E-4056-8FA3-AD0470D1F2D1}"/>
      </w:docPartPr>
      <w:docPartBody>
        <w:p w:rsidR="00D77D4F" w:rsidRDefault="00626D97">
          <w:pPr>
            <w:pStyle w:val="6051A2D261D4404DAD67FE4B2B88D75E"/>
          </w:pPr>
          <w:r w:rsidRPr="00E82B03">
            <w:rPr>
              <w:rStyle w:val="Pladsholdertekst"/>
            </w:rPr>
            <w:t>Choose an item.</w:t>
          </w:r>
        </w:p>
      </w:docPartBody>
    </w:docPart>
    <w:docPart>
      <w:docPartPr>
        <w:name w:val="39522061997843F196C17C47851F313B"/>
        <w:category>
          <w:name w:val="Generelt"/>
          <w:gallery w:val="placeholder"/>
        </w:category>
        <w:types>
          <w:type w:val="bbPlcHdr"/>
        </w:types>
        <w:behaviors>
          <w:behavior w:val="content"/>
        </w:behaviors>
        <w:guid w:val="{425E564E-A12F-40E5-829C-2498300097DC}"/>
      </w:docPartPr>
      <w:docPartBody>
        <w:p w:rsidR="00D77D4F" w:rsidRDefault="00626D97">
          <w:pPr>
            <w:pStyle w:val="39522061997843F196C17C47851F313B"/>
          </w:pPr>
          <w:r w:rsidRPr="00E82B03">
            <w:rPr>
              <w:rStyle w:val="Pladsholdertekst"/>
            </w:rPr>
            <w:t>Choose an item.</w:t>
          </w:r>
        </w:p>
      </w:docPartBody>
    </w:docPart>
    <w:docPart>
      <w:docPartPr>
        <w:name w:val="940F0062E8D145208F7A2AF45D8705FE"/>
        <w:category>
          <w:name w:val="Generelt"/>
          <w:gallery w:val="placeholder"/>
        </w:category>
        <w:types>
          <w:type w:val="bbPlcHdr"/>
        </w:types>
        <w:behaviors>
          <w:behavior w:val="content"/>
        </w:behaviors>
        <w:guid w:val="{95D271AC-A65A-4FD4-A5AD-715F8C78C093}"/>
      </w:docPartPr>
      <w:docPartBody>
        <w:p w:rsidR="00D77D4F" w:rsidRDefault="00626D97">
          <w:pPr>
            <w:pStyle w:val="940F0062E8D145208F7A2AF45D8705FE"/>
          </w:pPr>
          <w:r w:rsidRPr="00E82B03">
            <w:rPr>
              <w:rStyle w:val="Pladsholdertekst"/>
            </w:rPr>
            <w:t>Choose an item.</w:t>
          </w:r>
        </w:p>
      </w:docPartBody>
    </w:docPart>
    <w:docPart>
      <w:docPartPr>
        <w:name w:val="FF1FB179A2A74828AA990CB5C8469BAF"/>
        <w:category>
          <w:name w:val="Generelt"/>
          <w:gallery w:val="placeholder"/>
        </w:category>
        <w:types>
          <w:type w:val="bbPlcHdr"/>
        </w:types>
        <w:behaviors>
          <w:behavior w:val="content"/>
        </w:behaviors>
        <w:guid w:val="{05BE2BE6-5988-47D5-9845-38205270E17B}"/>
      </w:docPartPr>
      <w:docPartBody>
        <w:p w:rsidR="00D77D4F" w:rsidRDefault="00626D97">
          <w:pPr>
            <w:pStyle w:val="FF1FB179A2A74828AA990CB5C8469BAF"/>
          </w:pPr>
          <w:r w:rsidRPr="00E82B03">
            <w:rPr>
              <w:rStyle w:val="Pladsholdertekst"/>
            </w:rPr>
            <w:t>Choose an item.</w:t>
          </w:r>
        </w:p>
      </w:docPartBody>
    </w:docPart>
    <w:docPart>
      <w:docPartPr>
        <w:name w:val="296EB85DFFF34979968BF6BAC68D0F1E"/>
        <w:category>
          <w:name w:val="Generelt"/>
          <w:gallery w:val="placeholder"/>
        </w:category>
        <w:types>
          <w:type w:val="bbPlcHdr"/>
        </w:types>
        <w:behaviors>
          <w:behavior w:val="content"/>
        </w:behaviors>
        <w:guid w:val="{3FE2705C-DC9C-4961-B884-D30E415F668B}"/>
      </w:docPartPr>
      <w:docPartBody>
        <w:p w:rsidR="00D77D4F" w:rsidRDefault="00626D97">
          <w:pPr>
            <w:pStyle w:val="296EB85DFFF34979968BF6BAC68D0F1E"/>
          </w:pPr>
          <w:r w:rsidRPr="00E82B03">
            <w:rPr>
              <w:rStyle w:val="Pladsholdertekst"/>
            </w:rPr>
            <w:t>Choose an item.</w:t>
          </w:r>
        </w:p>
      </w:docPartBody>
    </w:docPart>
    <w:docPart>
      <w:docPartPr>
        <w:name w:val="73A15430932F4644A688DC80E8CFC584"/>
        <w:category>
          <w:name w:val="Generelt"/>
          <w:gallery w:val="placeholder"/>
        </w:category>
        <w:types>
          <w:type w:val="bbPlcHdr"/>
        </w:types>
        <w:behaviors>
          <w:behavior w:val="content"/>
        </w:behaviors>
        <w:guid w:val="{4EE98FE6-C2C4-4D34-92FB-09E336F88991}"/>
      </w:docPartPr>
      <w:docPartBody>
        <w:p w:rsidR="00D77D4F" w:rsidRDefault="00626D97">
          <w:pPr>
            <w:pStyle w:val="73A15430932F4644A688DC80E8CFC584"/>
          </w:pPr>
          <w:r w:rsidRPr="00E82B03">
            <w:rPr>
              <w:rStyle w:val="Pladsholdertekst"/>
            </w:rPr>
            <w:t>Choose an item.</w:t>
          </w:r>
        </w:p>
      </w:docPartBody>
    </w:docPart>
    <w:docPart>
      <w:docPartPr>
        <w:name w:val="DFF6F8E8217D4723A629329EB9579236"/>
        <w:category>
          <w:name w:val="Generelt"/>
          <w:gallery w:val="placeholder"/>
        </w:category>
        <w:types>
          <w:type w:val="bbPlcHdr"/>
        </w:types>
        <w:behaviors>
          <w:behavior w:val="content"/>
        </w:behaviors>
        <w:guid w:val="{3A63F2ED-1168-467E-B5FA-6AB10C26F352}"/>
      </w:docPartPr>
      <w:docPartBody>
        <w:p w:rsidR="00D77D4F" w:rsidRDefault="00626D97">
          <w:pPr>
            <w:pStyle w:val="DFF6F8E8217D4723A629329EB9579236"/>
          </w:pPr>
          <w:r w:rsidRPr="00E82B03">
            <w:rPr>
              <w:rStyle w:val="Pladsholdertekst"/>
            </w:rPr>
            <w:t>Choose an item.</w:t>
          </w:r>
        </w:p>
      </w:docPartBody>
    </w:docPart>
    <w:docPart>
      <w:docPartPr>
        <w:name w:val="FAEF1DE8F27743EA9AC5603CEBB74E81"/>
        <w:category>
          <w:name w:val="Generelt"/>
          <w:gallery w:val="placeholder"/>
        </w:category>
        <w:types>
          <w:type w:val="bbPlcHdr"/>
        </w:types>
        <w:behaviors>
          <w:behavior w:val="content"/>
        </w:behaviors>
        <w:guid w:val="{4D8785CA-72A0-4416-B367-B653995ADFDA}"/>
      </w:docPartPr>
      <w:docPartBody>
        <w:p w:rsidR="00D77D4F" w:rsidRDefault="00626D97">
          <w:pPr>
            <w:pStyle w:val="FAEF1DE8F27743EA9AC5603CEBB74E81"/>
          </w:pPr>
          <w:r w:rsidRPr="00E82B03">
            <w:rPr>
              <w:rStyle w:val="Pladsholdertekst"/>
            </w:rPr>
            <w:t>Choose an item.</w:t>
          </w:r>
        </w:p>
      </w:docPartBody>
    </w:docPart>
    <w:docPart>
      <w:docPartPr>
        <w:name w:val="AAC4AE6309354EDBB28F8893215C9830"/>
        <w:category>
          <w:name w:val="Generelt"/>
          <w:gallery w:val="placeholder"/>
        </w:category>
        <w:types>
          <w:type w:val="bbPlcHdr"/>
        </w:types>
        <w:behaviors>
          <w:behavior w:val="content"/>
        </w:behaviors>
        <w:guid w:val="{A3429DC9-B317-4EDB-A3DB-3A6F3A3805A5}"/>
      </w:docPartPr>
      <w:docPartBody>
        <w:p w:rsidR="00D77D4F" w:rsidRDefault="00626D97">
          <w:pPr>
            <w:pStyle w:val="AAC4AE6309354EDBB28F8893215C9830"/>
          </w:pPr>
          <w:r w:rsidRPr="00E82B03">
            <w:rPr>
              <w:rStyle w:val="Pladsholdertekst"/>
            </w:rPr>
            <w:t>Choose an item.</w:t>
          </w:r>
        </w:p>
      </w:docPartBody>
    </w:docPart>
    <w:docPart>
      <w:docPartPr>
        <w:name w:val="3C9B2C53705743158CD5FE4D4D4E5064"/>
        <w:category>
          <w:name w:val="Generelt"/>
          <w:gallery w:val="placeholder"/>
        </w:category>
        <w:types>
          <w:type w:val="bbPlcHdr"/>
        </w:types>
        <w:behaviors>
          <w:behavior w:val="content"/>
        </w:behaviors>
        <w:guid w:val="{3BEBE51F-2DB3-485A-87DB-74D1E28E11C3}"/>
      </w:docPartPr>
      <w:docPartBody>
        <w:p w:rsidR="00D77D4F" w:rsidRDefault="00626D97">
          <w:pPr>
            <w:pStyle w:val="3C9B2C53705743158CD5FE4D4D4E5064"/>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97"/>
    <w:rsid w:val="000D2D34"/>
    <w:rsid w:val="00626D97"/>
    <w:rsid w:val="006517D8"/>
    <w:rsid w:val="00753C18"/>
    <w:rsid w:val="0099201C"/>
    <w:rsid w:val="00C241B9"/>
    <w:rsid w:val="00D77D4F"/>
    <w:rsid w:val="00EF52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E794E414A6C4B6EA58609947D81EEB4">
    <w:name w:val="0E794E414A6C4B6EA58609947D81EEB4"/>
  </w:style>
  <w:style w:type="paragraph" w:customStyle="1" w:styleId="B0845B7A4FAD4E93AB89F6E2F0F25A61">
    <w:name w:val="B0845B7A4FAD4E93AB89F6E2F0F25A61"/>
  </w:style>
  <w:style w:type="paragraph" w:customStyle="1" w:styleId="C66B0AC2590D4F3AA78672DEF4D69E3D">
    <w:name w:val="C66B0AC2590D4F3AA78672DEF4D69E3D"/>
  </w:style>
  <w:style w:type="paragraph" w:customStyle="1" w:styleId="CBF9140793F9408A9FC56C6985293A5B">
    <w:name w:val="CBF9140793F9408A9FC56C6985293A5B"/>
  </w:style>
  <w:style w:type="paragraph" w:customStyle="1" w:styleId="377A5135674E4691ABE617890B88AA81">
    <w:name w:val="377A5135674E4691ABE617890B88AA81"/>
  </w:style>
  <w:style w:type="paragraph" w:customStyle="1" w:styleId="3481A445D6C048FABA04984BC845C8F6">
    <w:name w:val="3481A445D6C048FABA04984BC845C8F6"/>
  </w:style>
  <w:style w:type="paragraph" w:customStyle="1" w:styleId="3B52F9BE67D84BDFB4FF454406EE304D">
    <w:name w:val="3B52F9BE67D84BDFB4FF454406EE304D"/>
  </w:style>
  <w:style w:type="paragraph" w:customStyle="1" w:styleId="022A63F9ED124B81AE25825156BFBFEB">
    <w:name w:val="022A63F9ED124B81AE25825156BFBFEB"/>
  </w:style>
  <w:style w:type="paragraph" w:customStyle="1" w:styleId="E677A9D0D9D44818AB781EDF9BDB60F7">
    <w:name w:val="E677A9D0D9D44818AB781EDF9BDB60F7"/>
  </w:style>
  <w:style w:type="paragraph" w:customStyle="1" w:styleId="EF07A0607A044052AE5B375D1315EB41">
    <w:name w:val="EF07A0607A044052AE5B375D1315EB41"/>
  </w:style>
  <w:style w:type="paragraph" w:customStyle="1" w:styleId="ED814AEEDEFE45928AC9B2639F504B64">
    <w:name w:val="ED814AEEDEFE45928AC9B2639F504B64"/>
  </w:style>
  <w:style w:type="paragraph" w:customStyle="1" w:styleId="D3B523D2859D4124BC7C54B0A79634A4">
    <w:name w:val="D3B523D2859D4124BC7C54B0A79634A4"/>
  </w:style>
  <w:style w:type="paragraph" w:customStyle="1" w:styleId="6051A2D261D4404DAD67FE4B2B88D75E">
    <w:name w:val="6051A2D261D4404DAD67FE4B2B88D75E"/>
  </w:style>
  <w:style w:type="paragraph" w:customStyle="1" w:styleId="39522061997843F196C17C47851F313B">
    <w:name w:val="39522061997843F196C17C47851F313B"/>
  </w:style>
  <w:style w:type="paragraph" w:customStyle="1" w:styleId="940F0062E8D145208F7A2AF45D8705FE">
    <w:name w:val="940F0062E8D145208F7A2AF45D8705FE"/>
  </w:style>
  <w:style w:type="paragraph" w:customStyle="1" w:styleId="FF1FB179A2A74828AA990CB5C8469BAF">
    <w:name w:val="FF1FB179A2A74828AA990CB5C8469BAF"/>
  </w:style>
  <w:style w:type="paragraph" w:customStyle="1" w:styleId="296EB85DFFF34979968BF6BAC68D0F1E">
    <w:name w:val="296EB85DFFF34979968BF6BAC68D0F1E"/>
  </w:style>
  <w:style w:type="paragraph" w:customStyle="1" w:styleId="73A15430932F4644A688DC80E8CFC584">
    <w:name w:val="73A15430932F4644A688DC80E8CFC584"/>
  </w:style>
  <w:style w:type="paragraph" w:customStyle="1" w:styleId="DFF6F8E8217D4723A629329EB9579236">
    <w:name w:val="DFF6F8E8217D4723A629329EB9579236"/>
  </w:style>
  <w:style w:type="paragraph" w:customStyle="1" w:styleId="FAEF1DE8F27743EA9AC5603CEBB74E81">
    <w:name w:val="FAEF1DE8F27743EA9AC5603CEBB74E81"/>
  </w:style>
  <w:style w:type="paragraph" w:customStyle="1" w:styleId="AAC4AE6309354EDBB28F8893215C9830">
    <w:name w:val="AAC4AE6309354EDBB28F8893215C9830"/>
  </w:style>
  <w:style w:type="paragraph" w:customStyle="1" w:styleId="3C9B2C53705743158CD5FE4D4D4E5064">
    <w:name w:val="3C9B2C53705743158CD5FE4D4D4E5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B50C-1DA7-49B9-98AA-5DC3DC40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løgtingslóg um broyting í vinnufyritøkulógini</Template>
  <TotalTime>1</TotalTime>
  <Pages>17</Pages>
  <Words>5591</Words>
  <Characters>34110</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Uppskot til broyting í løgtingslóg</vt:lpstr>
    </vt:vector>
  </TitlesOfParts>
  <Company>Lógatænastan</Company>
  <LinksUpToDate>false</LinksUpToDate>
  <CharactersWithSpaces>39622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Gudmundur Nónstein</dc:creator>
  <cp:keywords>1. útgáva - mars 2016</cp:keywords>
  <dc:description/>
  <cp:lastModifiedBy>Sørin P. Sørensen</cp:lastModifiedBy>
  <cp:revision>2</cp:revision>
  <cp:lastPrinted>2017-04-04T12:39:00Z</cp:lastPrinted>
  <dcterms:created xsi:type="dcterms:W3CDTF">2017-04-06T10:14:00Z</dcterms:created>
  <dcterms:modified xsi:type="dcterms:W3CDTF">2017-04-06T10:14:00Z</dcterms:modified>
  <cp:contentStatus>1. útgáva - mars 2016</cp:contentStatus>
</cp:coreProperties>
</file>