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45326" w14:textId="3C5142AE" w:rsidR="00E273FD" w:rsidRPr="00E273FD" w:rsidRDefault="00E273FD" w:rsidP="00EE0487">
      <w:pPr>
        <w:spacing w:after="0" w:line="276" w:lineRule="auto"/>
        <w:jc w:val="right"/>
        <w:rPr>
          <w:b/>
          <w:bCs/>
          <w:lang w:eastAsia="en-US"/>
        </w:rPr>
      </w:pPr>
      <w:r w:rsidRPr="00E273FD">
        <w:rPr>
          <w:b/>
          <w:bCs/>
          <w:lang w:eastAsia="en-US"/>
        </w:rPr>
        <w:t>Fylgiskjal 1</w:t>
      </w:r>
    </w:p>
    <w:p w14:paraId="4E169E0A" w14:textId="77777777" w:rsidR="00E273FD" w:rsidRPr="00E273FD" w:rsidRDefault="00E273FD" w:rsidP="00EE0487">
      <w:pPr>
        <w:spacing w:after="0" w:line="276" w:lineRule="auto"/>
        <w:jc w:val="right"/>
        <w:rPr>
          <w:b/>
          <w:bCs/>
          <w:lang w:eastAsia="en-US"/>
        </w:rPr>
      </w:pPr>
    </w:p>
    <w:p w14:paraId="7401E17D" w14:textId="77777777" w:rsidR="00E273FD" w:rsidRPr="00E273FD" w:rsidRDefault="00E273FD" w:rsidP="00EE0487">
      <w:pPr>
        <w:spacing w:after="0" w:line="276" w:lineRule="auto"/>
        <w:jc w:val="center"/>
        <w:rPr>
          <w:b/>
          <w:lang w:eastAsia="en-US"/>
        </w:rPr>
      </w:pPr>
      <w:proofErr w:type="spellStart"/>
      <w:r w:rsidRPr="00E273FD">
        <w:rPr>
          <w:b/>
          <w:lang w:eastAsia="en-US"/>
        </w:rPr>
        <w:t>Javntekstur</w:t>
      </w:r>
      <w:proofErr w:type="spellEnd"/>
    </w:p>
    <w:p w14:paraId="07347911" w14:textId="77777777" w:rsidR="00E273FD" w:rsidRPr="00E273FD" w:rsidRDefault="00E273FD" w:rsidP="00EE0487">
      <w:pPr>
        <w:spacing w:after="0" w:line="276" w:lineRule="auto"/>
        <w:jc w:val="center"/>
        <w:rPr>
          <w:b/>
          <w:lang w:eastAsia="en-US"/>
        </w:rPr>
      </w:pPr>
    </w:p>
    <w:p w14:paraId="03153003" w14:textId="77777777" w:rsidR="00E273FD" w:rsidRPr="00E273FD" w:rsidRDefault="00E273FD" w:rsidP="00EE0487">
      <w:pPr>
        <w:spacing w:after="0" w:line="276" w:lineRule="auto"/>
        <w:jc w:val="center"/>
        <w:rPr>
          <w:lang w:eastAsia="en-US"/>
        </w:rPr>
      </w:pPr>
      <w:r w:rsidRPr="00E273FD">
        <w:rPr>
          <w:lang w:eastAsia="en-US"/>
        </w:rPr>
        <w:t xml:space="preserve">Galdandi orðingar í løgtingslógini samanbornar við broyttu orðingarnar í </w:t>
      </w:r>
      <w:proofErr w:type="spellStart"/>
      <w:r w:rsidRPr="00E273FD">
        <w:rPr>
          <w:lang w:eastAsia="en-US"/>
        </w:rPr>
        <w:t>løgtingslógaruppskotinum</w:t>
      </w:r>
      <w:proofErr w:type="spellEnd"/>
      <w:r w:rsidRPr="00E273FD">
        <w:rPr>
          <w:lang w:eastAsia="en-US"/>
        </w:rPr>
        <w:t>.</w:t>
      </w:r>
    </w:p>
    <w:p w14:paraId="25B1CB75" w14:textId="040A45DF" w:rsidR="00E273FD" w:rsidRDefault="00E273FD" w:rsidP="00EE0487">
      <w:pPr>
        <w:spacing w:after="0" w:line="276" w:lineRule="auto"/>
        <w:jc w:val="center"/>
        <w:rPr>
          <w:lang w:eastAsia="en-US"/>
        </w:rPr>
      </w:pPr>
    </w:p>
    <w:p w14:paraId="142AFC1D" w14:textId="77777777" w:rsidR="00AB4E3E" w:rsidRPr="00E273FD" w:rsidRDefault="00AB4E3E" w:rsidP="00EE0487">
      <w:pPr>
        <w:spacing w:after="0" w:line="276" w:lineRule="auto"/>
        <w:jc w:val="center"/>
        <w:rPr>
          <w:lang w:eastAsia="en-US"/>
        </w:rPr>
      </w:pPr>
    </w:p>
    <w:tbl>
      <w:tblPr>
        <w:tblStyle w:val="TableGrid1"/>
        <w:tblW w:w="9726" w:type="dxa"/>
        <w:tblLook w:val="04A0" w:firstRow="1" w:lastRow="0" w:firstColumn="1" w:lastColumn="0" w:noHBand="0" w:noVBand="1"/>
      </w:tblPr>
      <w:tblGrid>
        <w:gridCol w:w="4864"/>
        <w:gridCol w:w="4862"/>
      </w:tblGrid>
      <w:tr w:rsidR="00E273FD" w:rsidRPr="00DF2856" w14:paraId="7D836D27" w14:textId="77777777" w:rsidTr="001E4F35">
        <w:tc>
          <w:tcPr>
            <w:tcW w:w="4864" w:type="dxa"/>
          </w:tcPr>
          <w:p w14:paraId="0C6FF93C" w14:textId="77777777" w:rsidR="00E273FD" w:rsidRPr="00DF2856" w:rsidRDefault="00E273FD" w:rsidP="001E4F35">
            <w:pPr>
              <w:spacing w:after="0" w:line="276" w:lineRule="auto"/>
              <w:rPr>
                <w:b/>
                <w:noProof/>
              </w:rPr>
            </w:pPr>
            <w:r w:rsidRPr="00DF2856">
              <w:rPr>
                <w:b/>
                <w:noProof/>
              </w:rPr>
              <w:t>Galdandi orðingar</w:t>
            </w:r>
          </w:p>
          <w:p w14:paraId="30D71FD8" w14:textId="60A09B3A" w:rsidR="00E273FD" w:rsidRPr="00DF2856" w:rsidRDefault="00E273FD" w:rsidP="001E4F35">
            <w:pPr>
              <w:spacing w:after="0" w:line="276" w:lineRule="auto"/>
              <w:rPr>
                <w:b/>
                <w:noProof/>
              </w:rPr>
            </w:pPr>
          </w:p>
        </w:tc>
        <w:tc>
          <w:tcPr>
            <w:tcW w:w="4862" w:type="dxa"/>
          </w:tcPr>
          <w:p w14:paraId="47ED813A" w14:textId="77777777" w:rsidR="00E273FD" w:rsidRPr="00DF2856" w:rsidRDefault="00E273FD" w:rsidP="001E4F35">
            <w:pPr>
              <w:spacing w:after="0" w:line="276" w:lineRule="auto"/>
              <w:rPr>
                <w:b/>
                <w:noProof/>
              </w:rPr>
            </w:pPr>
            <w:r w:rsidRPr="00DF2856">
              <w:rPr>
                <w:b/>
                <w:noProof/>
              </w:rPr>
              <w:t>Løgtingslógaruppskotið</w:t>
            </w:r>
          </w:p>
        </w:tc>
      </w:tr>
      <w:tr w:rsidR="00F62748" w:rsidRPr="00DF2856" w14:paraId="3EC3D406" w14:textId="77777777" w:rsidTr="001E4F35">
        <w:tc>
          <w:tcPr>
            <w:tcW w:w="4864" w:type="dxa"/>
          </w:tcPr>
          <w:p w14:paraId="05E499FD" w14:textId="77777777" w:rsidR="00AB4E3E" w:rsidRDefault="00AB4E3E" w:rsidP="001E4F35">
            <w:pPr>
              <w:pStyle w:val="paragraftekst0"/>
              <w:shd w:val="clear" w:color="auto" w:fill="FFFFFF"/>
              <w:spacing w:before="0" w:beforeAutospacing="0" w:after="0" w:afterAutospacing="0" w:line="276" w:lineRule="auto"/>
              <w:ind w:firstLine="170"/>
              <w:rPr>
                <w:b/>
                <w:bCs/>
                <w:noProof/>
                <w:color w:val="000000"/>
                <w:lang w:val="fo-FO"/>
              </w:rPr>
            </w:pPr>
          </w:p>
          <w:p w14:paraId="66F72DA2" w14:textId="1082D2FB" w:rsidR="00DF2856" w:rsidRPr="00DF2856" w:rsidRDefault="00DF2856" w:rsidP="001E4F35">
            <w:pPr>
              <w:pStyle w:val="paragraftekst0"/>
              <w:shd w:val="clear" w:color="auto" w:fill="FFFFFF"/>
              <w:spacing w:before="0" w:beforeAutospacing="0" w:after="0" w:afterAutospacing="0" w:line="276" w:lineRule="auto"/>
              <w:ind w:firstLine="170"/>
              <w:rPr>
                <w:noProof/>
                <w:color w:val="000000"/>
                <w:lang w:val="fo-FO"/>
              </w:rPr>
            </w:pPr>
            <w:r w:rsidRPr="00DF2856">
              <w:rPr>
                <w:b/>
                <w:bCs/>
                <w:noProof/>
                <w:color w:val="000000"/>
                <w:lang w:val="fo-FO"/>
              </w:rPr>
              <w:t>§ 43.</w:t>
            </w:r>
            <w:r w:rsidRPr="00DF2856">
              <w:rPr>
                <w:noProof/>
                <w:color w:val="000000"/>
                <w:lang w:val="fo-FO"/>
              </w:rPr>
              <w:t> Tær í § 42, stk. 6, § 57, stk. 2, og § 59, stk. 1 nevndu upphæddir verða javnaðar av landsstýrismanninum eftir tilmæli frá Vanlukkutryggingarráðnum við broytingini í tí til eina og hvørja tíð galdandi høvuðssáttmála millum Føroya Arbeiðarafelag og Føroya Arbeiðsgevarafelag og avrundaðar til nærmastu 100 kr.</w:t>
            </w:r>
          </w:p>
          <w:p w14:paraId="12DD9ABA" w14:textId="77777777" w:rsidR="001E4F35" w:rsidRDefault="001E4F35" w:rsidP="001E4F35">
            <w:pPr>
              <w:pStyle w:val="stk0"/>
              <w:shd w:val="clear" w:color="auto" w:fill="FFFFFF"/>
              <w:spacing w:before="0" w:beforeAutospacing="0" w:after="0" w:afterAutospacing="0" w:line="276" w:lineRule="auto"/>
              <w:ind w:firstLine="170"/>
              <w:rPr>
                <w:i/>
                <w:iCs/>
                <w:noProof/>
                <w:color w:val="000000"/>
                <w:lang w:val="fo-FO"/>
              </w:rPr>
            </w:pPr>
          </w:p>
          <w:p w14:paraId="339E7E90" w14:textId="2D78EB0A" w:rsidR="00DF2856" w:rsidRPr="00DF2856" w:rsidRDefault="00DF2856" w:rsidP="001E4F35">
            <w:pPr>
              <w:pStyle w:val="stk0"/>
              <w:shd w:val="clear" w:color="auto" w:fill="FFFFFF"/>
              <w:spacing w:before="0" w:beforeAutospacing="0" w:after="0" w:afterAutospacing="0" w:line="276" w:lineRule="auto"/>
              <w:ind w:firstLine="170"/>
              <w:rPr>
                <w:noProof/>
                <w:color w:val="000000"/>
                <w:lang w:val="fo-FO"/>
              </w:rPr>
            </w:pPr>
            <w:r w:rsidRPr="00DF2856">
              <w:rPr>
                <w:i/>
                <w:iCs/>
                <w:noProof/>
                <w:color w:val="000000"/>
                <w:lang w:val="fo-FO"/>
              </w:rPr>
              <w:t>Stk. 2. </w:t>
            </w:r>
            <w:r w:rsidRPr="00DF2856">
              <w:rPr>
                <w:noProof/>
                <w:color w:val="000000"/>
                <w:lang w:val="fo-FO"/>
              </w:rPr>
              <w:t>Vanlukkutryggingarráðið skal innan 1. januar, eftir at sáttmálin, nevndur í stk. 1, er broyttur, almannakunngera tær soleiðis javnaðu upphæddirnar.</w:t>
            </w:r>
          </w:p>
          <w:p w14:paraId="53308249" w14:textId="77777777" w:rsidR="001E4F35" w:rsidRDefault="001E4F35" w:rsidP="001E4F35">
            <w:pPr>
              <w:pStyle w:val="stk0"/>
              <w:shd w:val="clear" w:color="auto" w:fill="FFFFFF"/>
              <w:spacing w:before="0" w:beforeAutospacing="0" w:after="0" w:afterAutospacing="0" w:line="276" w:lineRule="auto"/>
              <w:ind w:firstLine="170"/>
              <w:rPr>
                <w:i/>
                <w:iCs/>
                <w:noProof/>
                <w:color w:val="000000"/>
                <w:lang w:val="fo-FO"/>
              </w:rPr>
            </w:pPr>
          </w:p>
          <w:p w14:paraId="18C29AFF" w14:textId="77777777" w:rsidR="00F62748" w:rsidRDefault="00DF2856" w:rsidP="001E4F35">
            <w:pPr>
              <w:pStyle w:val="stk0"/>
              <w:shd w:val="clear" w:color="auto" w:fill="FFFFFF"/>
              <w:spacing w:before="0" w:beforeAutospacing="0" w:after="0" w:afterAutospacing="0" w:line="276" w:lineRule="auto"/>
              <w:ind w:firstLine="170"/>
              <w:rPr>
                <w:noProof/>
                <w:color w:val="000000"/>
                <w:lang w:val="fo-FO"/>
              </w:rPr>
            </w:pPr>
            <w:r w:rsidRPr="00DF2856">
              <w:rPr>
                <w:i/>
                <w:iCs/>
                <w:noProof/>
                <w:color w:val="000000"/>
                <w:lang w:val="fo-FO"/>
              </w:rPr>
              <w:t>Stk. 3. </w:t>
            </w:r>
            <w:r w:rsidRPr="00DF2856">
              <w:rPr>
                <w:noProof/>
                <w:color w:val="000000"/>
                <w:lang w:val="fo-FO"/>
              </w:rPr>
              <w:t>Veitingarnar sambært lógini verða roknaðar við grundarlagi í upphæddunum, ið vóru galdandi, tá avgerðin um játtaðu veitingarnar verður tikin.</w:t>
            </w:r>
          </w:p>
          <w:p w14:paraId="65C4C4C8" w14:textId="0702FD78" w:rsidR="001E4F35" w:rsidRPr="00DF2856" w:rsidRDefault="001E4F35" w:rsidP="001E4F35">
            <w:pPr>
              <w:pStyle w:val="stk0"/>
              <w:shd w:val="clear" w:color="auto" w:fill="FFFFFF"/>
              <w:spacing w:before="0" w:beforeAutospacing="0" w:after="0" w:afterAutospacing="0" w:line="276" w:lineRule="auto"/>
              <w:ind w:firstLine="170"/>
              <w:rPr>
                <w:b/>
                <w:noProof/>
                <w:lang w:val="fo-FO"/>
              </w:rPr>
            </w:pPr>
          </w:p>
        </w:tc>
        <w:tc>
          <w:tcPr>
            <w:tcW w:w="4862" w:type="dxa"/>
          </w:tcPr>
          <w:p w14:paraId="0D1E078D" w14:textId="77777777" w:rsidR="00AB4E3E" w:rsidRDefault="00AB4E3E" w:rsidP="001E4F35">
            <w:pPr>
              <w:pStyle w:val="paragraftekst0"/>
              <w:shd w:val="clear" w:color="auto" w:fill="FFFFFF"/>
              <w:spacing w:before="0" w:beforeAutospacing="0" w:after="0" w:afterAutospacing="0" w:line="276" w:lineRule="auto"/>
              <w:ind w:firstLine="170"/>
              <w:rPr>
                <w:b/>
                <w:bCs/>
                <w:noProof/>
                <w:color w:val="000000"/>
                <w:lang w:val="fo-FO"/>
              </w:rPr>
            </w:pPr>
          </w:p>
          <w:p w14:paraId="707945E9" w14:textId="2DF4383B" w:rsidR="001E4F35" w:rsidRPr="00DF2856" w:rsidRDefault="001E4F35" w:rsidP="001E4F35">
            <w:pPr>
              <w:pStyle w:val="paragraftekst0"/>
              <w:shd w:val="clear" w:color="auto" w:fill="FFFFFF"/>
              <w:spacing w:before="0" w:beforeAutospacing="0" w:after="0" w:afterAutospacing="0" w:line="276" w:lineRule="auto"/>
              <w:ind w:firstLine="170"/>
              <w:rPr>
                <w:noProof/>
                <w:color w:val="000000"/>
                <w:lang w:val="fo-FO"/>
              </w:rPr>
            </w:pPr>
            <w:r w:rsidRPr="00DF2856">
              <w:rPr>
                <w:b/>
                <w:bCs/>
                <w:noProof/>
                <w:color w:val="000000"/>
                <w:lang w:val="fo-FO"/>
              </w:rPr>
              <w:t>§ 43.</w:t>
            </w:r>
            <w:r w:rsidRPr="00DF2856">
              <w:rPr>
                <w:noProof/>
                <w:color w:val="000000"/>
                <w:lang w:val="fo-FO"/>
              </w:rPr>
              <w:t> Tær í § 42, stk. 6, § 57, stk. 2, og § 59, stk. 1 nevndu upphæddir verða javnaðar av landsstýrismanninum eftir tilmæli frá Vanlukkutryggingarráðnum við broytingini í tí til eina og hvørja tíð galdandi høvuðssáttmála millum Føroya Arbeiðarafelag og Føroya Arbeiðsgevarafelag og avrundaðar til nærmastu 100 kr.</w:t>
            </w:r>
          </w:p>
          <w:p w14:paraId="777BF626" w14:textId="77777777" w:rsidR="001E4F35" w:rsidRDefault="001E4F35" w:rsidP="001E4F35">
            <w:pPr>
              <w:pStyle w:val="stk0"/>
              <w:shd w:val="clear" w:color="auto" w:fill="FFFFFF"/>
              <w:spacing w:before="0" w:beforeAutospacing="0" w:after="0" w:afterAutospacing="0" w:line="276" w:lineRule="auto"/>
              <w:ind w:firstLine="170"/>
              <w:rPr>
                <w:i/>
                <w:iCs/>
                <w:noProof/>
                <w:color w:val="000000"/>
                <w:lang w:val="fo-FO"/>
              </w:rPr>
            </w:pPr>
          </w:p>
          <w:p w14:paraId="699F0F68" w14:textId="77777777" w:rsidR="001E4F35" w:rsidRPr="00DF2856" w:rsidRDefault="001E4F35" w:rsidP="001E4F35">
            <w:pPr>
              <w:pStyle w:val="stk0"/>
              <w:shd w:val="clear" w:color="auto" w:fill="FFFFFF"/>
              <w:spacing w:before="0" w:beforeAutospacing="0" w:after="0" w:afterAutospacing="0" w:line="276" w:lineRule="auto"/>
              <w:ind w:firstLine="170"/>
              <w:rPr>
                <w:noProof/>
                <w:color w:val="000000"/>
                <w:lang w:val="fo-FO"/>
              </w:rPr>
            </w:pPr>
            <w:r w:rsidRPr="00DF2856">
              <w:rPr>
                <w:i/>
                <w:iCs/>
                <w:noProof/>
                <w:color w:val="000000"/>
                <w:lang w:val="fo-FO"/>
              </w:rPr>
              <w:t>Stk. 2. </w:t>
            </w:r>
            <w:r w:rsidRPr="00DF2856">
              <w:rPr>
                <w:noProof/>
                <w:color w:val="000000"/>
                <w:lang w:val="fo-FO"/>
              </w:rPr>
              <w:t>Vanlukkutryggingarráðið skal innan 1. januar, eftir at sáttmálin, nevndur í stk. 1, er broyttur, almannakunngera tær soleiðis javnaðu upphæddirnar.</w:t>
            </w:r>
          </w:p>
          <w:p w14:paraId="161EEF83" w14:textId="77777777" w:rsidR="001E4F35" w:rsidRDefault="001E4F35" w:rsidP="001E4F35">
            <w:pPr>
              <w:pStyle w:val="stk0"/>
              <w:shd w:val="clear" w:color="auto" w:fill="FFFFFF"/>
              <w:spacing w:before="0" w:beforeAutospacing="0" w:after="0" w:afterAutospacing="0" w:line="276" w:lineRule="auto"/>
              <w:ind w:firstLine="170"/>
              <w:rPr>
                <w:i/>
                <w:iCs/>
                <w:noProof/>
                <w:color w:val="000000"/>
                <w:lang w:val="fo-FO"/>
              </w:rPr>
            </w:pPr>
          </w:p>
          <w:p w14:paraId="30626858" w14:textId="194AF4B9" w:rsidR="001E4F35" w:rsidRDefault="001E4F35" w:rsidP="001E4F35">
            <w:pPr>
              <w:pStyle w:val="stk0"/>
              <w:shd w:val="clear" w:color="auto" w:fill="FFFFFF"/>
              <w:spacing w:before="0" w:beforeAutospacing="0" w:after="0" w:afterAutospacing="0" w:line="276" w:lineRule="auto"/>
              <w:ind w:firstLine="170"/>
              <w:rPr>
                <w:b/>
                <w:noProof/>
              </w:rPr>
            </w:pPr>
            <w:r w:rsidRPr="00DF2856">
              <w:rPr>
                <w:i/>
                <w:iCs/>
                <w:noProof/>
                <w:color w:val="000000"/>
                <w:lang w:val="fo-FO"/>
              </w:rPr>
              <w:t>Stk. 3. </w:t>
            </w:r>
            <w:r w:rsidRPr="00DF2856">
              <w:rPr>
                <w:noProof/>
                <w:color w:val="000000"/>
                <w:lang w:val="fo-FO"/>
              </w:rPr>
              <w:t>Veitingarnar sambært lógini verða roknaðar við grundarlagi í upphæddunum, ið vóru galdandi, tá avgerðin um játtaðu veitingarnar verður tikin</w:t>
            </w:r>
            <w:r w:rsidR="00D753C7">
              <w:rPr>
                <w:noProof/>
                <w:color w:val="000000"/>
                <w:lang w:val="fo-FO"/>
              </w:rPr>
              <w:t>, sbr. tó stk. 4</w:t>
            </w:r>
            <w:r w:rsidRPr="00DF2856">
              <w:rPr>
                <w:noProof/>
                <w:color w:val="000000"/>
                <w:lang w:val="fo-FO"/>
              </w:rPr>
              <w:t>.</w:t>
            </w:r>
          </w:p>
          <w:p w14:paraId="13B4B399" w14:textId="77777777" w:rsidR="001E4F35" w:rsidRDefault="001E4F35" w:rsidP="001E4F35">
            <w:pPr>
              <w:spacing w:after="0" w:line="276" w:lineRule="auto"/>
              <w:rPr>
                <w:bCs/>
                <w:i/>
                <w:iCs/>
                <w:noProof/>
              </w:rPr>
            </w:pPr>
          </w:p>
          <w:p w14:paraId="40F4E43C" w14:textId="08A703B4" w:rsidR="00463369" w:rsidRDefault="001E4F35" w:rsidP="00463369">
            <w:pPr>
              <w:pStyle w:val="stk0"/>
              <w:shd w:val="clear" w:color="auto" w:fill="FFFFFF"/>
              <w:spacing w:before="0" w:beforeAutospacing="0" w:after="0" w:afterAutospacing="0" w:line="276" w:lineRule="auto"/>
              <w:ind w:firstLine="170"/>
              <w:rPr>
                <w:noProof/>
              </w:rPr>
            </w:pPr>
            <w:r>
              <w:rPr>
                <w:bCs/>
                <w:i/>
                <w:iCs/>
                <w:noProof/>
              </w:rPr>
              <w:t xml:space="preserve">Stk. 4. </w:t>
            </w:r>
            <w:r w:rsidR="007E4A56" w:rsidRPr="007E4A56">
              <w:rPr>
                <w:noProof/>
              </w:rPr>
              <w:t>Endurgjald, ið verður veitt sum framhaldandi árlig veiting sbrt. § 50, verður javnað av landsstýrismanninum eftir tilmæli frá Vanlukkutryggingarráðnum eftir somu reglum sum ásett í stk. 1 og 2.</w:t>
            </w:r>
          </w:p>
          <w:p w14:paraId="48BE11F6" w14:textId="712203B3" w:rsidR="00777237" w:rsidRPr="001E4F35" w:rsidRDefault="00777237" w:rsidP="00463369">
            <w:pPr>
              <w:pStyle w:val="stk0"/>
              <w:shd w:val="clear" w:color="auto" w:fill="FFFFFF"/>
              <w:spacing w:before="0" w:beforeAutospacing="0" w:after="0" w:afterAutospacing="0" w:line="276" w:lineRule="auto"/>
              <w:ind w:firstLine="170"/>
              <w:rPr>
                <w:bCs/>
                <w:noProof/>
              </w:rPr>
            </w:pPr>
          </w:p>
        </w:tc>
      </w:tr>
      <w:tr w:rsidR="00E273FD" w:rsidRPr="00DF2856" w14:paraId="6AD53958" w14:textId="77777777" w:rsidTr="001E4F35">
        <w:tc>
          <w:tcPr>
            <w:tcW w:w="4864" w:type="dxa"/>
          </w:tcPr>
          <w:p w14:paraId="3028FF5A" w14:textId="77777777" w:rsidR="00AB4E3E" w:rsidRDefault="00AB4E3E" w:rsidP="001E4F35">
            <w:pPr>
              <w:pStyle w:val="paragraftekst0"/>
              <w:shd w:val="clear" w:color="auto" w:fill="FFFFFF"/>
              <w:spacing w:before="0" w:beforeAutospacing="0" w:after="0" w:afterAutospacing="0" w:line="276" w:lineRule="auto"/>
              <w:ind w:firstLine="170"/>
              <w:rPr>
                <w:b/>
                <w:bCs/>
                <w:noProof/>
                <w:color w:val="000000"/>
                <w:lang w:val="fo-FO"/>
              </w:rPr>
            </w:pPr>
          </w:p>
          <w:p w14:paraId="6C59BA7B" w14:textId="54147713" w:rsidR="00E273FD" w:rsidRPr="00DF2856" w:rsidRDefault="00E273FD" w:rsidP="001E4F35">
            <w:pPr>
              <w:pStyle w:val="paragraftekst0"/>
              <w:shd w:val="clear" w:color="auto" w:fill="FFFFFF"/>
              <w:spacing w:before="0" w:beforeAutospacing="0" w:after="0" w:afterAutospacing="0" w:line="276" w:lineRule="auto"/>
              <w:ind w:firstLine="170"/>
              <w:rPr>
                <w:noProof/>
                <w:color w:val="000000"/>
                <w:lang w:val="fo-FO"/>
              </w:rPr>
            </w:pPr>
            <w:r w:rsidRPr="00DF2856">
              <w:rPr>
                <w:b/>
                <w:bCs/>
                <w:noProof/>
                <w:color w:val="000000"/>
                <w:lang w:val="fo-FO"/>
              </w:rPr>
              <w:t>§ 50.</w:t>
            </w:r>
            <w:r w:rsidRPr="00DF2856">
              <w:rPr>
                <w:noProof/>
                <w:color w:val="000000"/>
                <w:lang w:val="fo-FO"/>
              </w:rPr>
              <w:t> Endurgjald fyri mist vinnuføri verður veitt sum framhaldandi árlig veiting, uttan so, at veitingin verður roknað um til eina ávísa</w:t>
            </w:r>
            <w:r w:rsidRPr="00DF2856">
              <w:rPr>
                <w:b/>
                <w:bCs/>
                <w:noProof/>
                <w:color w:val="000000"/>
                <w:lang w:val="fo-FO"/>
              </w:rPr>
              <w:t> </w:t>
            </w:r>
            <w:r w:rsidRPr="00DF2856">
              <w:rPr>
                <w:noProof/>
                <w:color w:val="000000"/>
                <w:lang w:val="fo-FO"/>
              </w:rPr>
              <w:t>peningaupphædd sambært § 51.</w:t>
            </w:r>
          </w:p>
          <w:p w14:paraId="34478BBB" w14:textId="77777777" w:rsidR="001E4F35" w:rsidRDefault="001E4F35" w:rsidP="001E4F35">
            <w:pPr>
              <w:pStyle w:val="stk0"/>
              <w:shd w:val="clear" w:color="auto" w:fill="FFFFFF"/>
              <w:spacing w:before="0" w:beforeAutospacing="0" w:after="0" w:afterAutospacing="0" w:line="276" w:lineRule="auto"/>
              <w:ind w:firstLine="170"/>
              <w:rPr>
                <w:i/>
                <w:iCs/>
                <w:noProof/>
                <w:color w:val="000000"/>
                <w:lang w:val="fo-FO"/>
              </w:rPr>
            </w:pPr>
          </w:p>
          <w:p w14:paraId="4953F3B3" w14:textId="26DAD5C4" w:rsidR="00E273FD" w:rsidRPr="00DF2856" w:rsidRDefault="00E273FD" w:rsidP="001E4F35">
            <w:pPr>
              <w:pStyle w:val="stk0"/>
              <w:shd w:val="clear" w:color="auto" w:fill="FFFFFF"/>
              <w:spacing w:before="0" w:beforeAutospacing="0" w:after="0" w:afterAutospacing="0" w:line="276" w:lineRule="auto"/>
              <w:ind w:firstLine="170"/>
              <w:rPr>
                <w:noProof/>
                <w:color w:val="000000"/>
                <w:lang w:val="fo-FO"/>
              </w:rPr>
            </w:pPr>
            <w:r w:rsidRPr="00DF2856">
              <w:rPr>
                <w:i/>
                <w:iCs/>
                <w:noProof/>
                <w:color w:val="000000"/>
                <w:lang w:val="fo-FO"/>
              </w:rPr>
              <w:lastRenderedPageBreak/>
              <w:t>Stk. 2. </w:t>
            </w:r>
            <w:r w:rsidRPr="00DF2856">
              <w:rPr>
                <w:noProof/>
                <w:color w:val="000000"/>
                <w:lang w:val="fo-FO"/>
              </w:rPr>
              <w:t>Tann árliga veitingin verður goldin tryggjaða mánaðarliga frammanundan, og útgjaldingin byrjar, tá avgerðin er tikin, uttan so, at serligar umstøður tala fyri einum øðrum byrjanartíðarskeiði.</w:t>
            </w:r>
          </w:p>
          <w:p w14:paraId="1D729D65" w14:textId="77777777" w:rsidR="001E4F35" w:rsidRDefault="001E4F35" w:rsidP="001E4F35">
            <w:pPr>
              <w:pStyle w:val="stk0"/>
              <w:shd w:val="clear" w:color="auto" w:fill="FFFFFF"/>
              <w:spacing w:before="0" w:beforeAutospacing="0" w:after="0" w:afterAutospacing="0" w:line="276" w:lineRule="auto"/>
              <w:ind w:firstLine="170"/>
              <w:rPr>
                <w:i/>
                <w:iCs/>
                <w:noProof/>
                <w:color w:val="000000"/>
                <w:lang w:val="fo-FO"/>
              </w:rPr>
            </w:pPr>
          </w:p>
          <w:p w14:paraId="34B8ECF9" w14:textId="37C8625F" w:rsidR="00E273FD" w:rsidRPr="00DF2856" w:rsidRDefault="00E273FD" w:rsidP="001E4F35">
            <w:pPr>
              <w:pStyle w:val="stk0"/>
              <w:shd w:val="clear" w:color="auto" w:fill="FFFFFF"/>
              <w:spacing w:before="0" w:beforeAutospacing="0" w:after="0" w:afterAutospacing="0" w:line="276" w:lineRule="auto"/>
              <w:ind w:firstLine="170"/>
              <w:rPr>
                <w:noProof/>
                <w:color w:val="000000"/>
                <w:lang w:val="fo-FO"/>
              </w:rPr>
            </w:pPr>
            <w:r w:rsidRPr="00DF2856">
              <w:rPr>
                <w:i/>
                <w:iCs/>
                <w:noProof/>
                <w:color w:val="000000"/>
                <w:lang w:val="fo-FO"/>
              </w:rPr>
              <w:t>Stk. 3. </w:t>
            </w:r>
            <w:r w:rsidRPr="00DF2856">
              <w:rPr>
                <w:noProof/>
                <w:color w:val="000000"/>
                <w:lang w:val="fo-FO"/>
              </w:rPr>
              <w:t>Framhaldandi endurgjaldsveitingin heldur uppat seinast í mánaðinum, tá tryggjaði fyllir 67 ár, og tryggjaði fær tá í staðin eitt endaligt endurgjald fyri mist vinnuføri, ið svarar til 2 ferðir ta árligu endurgjaldsveitingina eftir § 49. Er tryggjaði longu fyltur 67 ár, tá avgerðin um at veita honum endurgjald fyri mist vinnuføri verður tikin, verður endaliga veitingin somuleiðis 2 ferðir árliga gjaldið, roknað sambært § 49.</w:t>
            </w:r>
          </w:p>
          <w:p w14:paraId="35FF5E44" w14:textId="4C6769EF" w:rsidR="00E273FD" w:rsidRPr="00DF2856" w:rsidRDefault="00E273FD" w:rsidP="001E4F35">
            <w:pPr>
              <w:spacing w:after="0" w:line="276" w:lineRule="auto"/>
              <w:rPr>
                <w:bCs/>
                <w:noProof/>
              </w:rPr>
            </w:pPr>
          </w:p>
        </w:tc>
        <w:tc>
          <w:tcPr>
            <w:tcW w:w="4862" w:type="dxa"/>
          </w:tcPr>
          <w:p w14:paraId="2EE1B15C" w14:textId="77777777" w:rsidR="00AB4E3E" w:rsidRDefault="00AB4E3E" w:rsidP="001E4F35">
            <w:pPr>
              <w:pStyle w:val="paragraftekst0"/>
              <w:shd w:val="clear" w:color="auto" w:fill="FFFFFF"/>
              <w:spacing w:before="0" w:beforeAutospacing="0" w:after="0" w:afterAutospacing="0" w:line="276" w:lineRule="auto"/>
              <w:ind w:firstLine="170"/>
              <w:rPr>
                <w:b/>
                <w:bCs/>
                <w:noProof/>
                <w:color w:val="000000"/>
                <w:lang w:val="fo-FO"/>
              </w:rPr>
            </w:pPr>
          </w:p>
          <w:p w14:paraId="59049892" w14:textId="2FD8E54E" w:rsidR="00E273FD" w:rsidRPr="00DF2856" w:rsidRDefault="00E273FD" w:rsidP="001E4F35">
            <w:pPr>
              <w:pStyle w:val="paragraftekst0"/>
              <w:shd w:val="clear" w:color="auto" w:fill="FFFFFF"/>
              <w:spacing w:before="0" w:beforeAutospacing="0" w:after="0" w:afterAutospacing="0" w:line="276" w:lineRule="auto"/>
              <w:ind w:firstLine="170"/>
              <w:rPr>
                <w:noProof/>
                <w:color w:val="000000"/>
                <w:lang w:val="fo-FO"/>
              </w:rPr>
            </w:pPr>
            <w:r w:rsidRPr="00DF2856">
              <w:rPr>
                <w:b/>
                <w:bCs/>
                <w:noProof/>
                <w:color w:val="000000"/>
                <w:lang w:val="fo-FO"/>
              </w:rPr>
              <w:t>§ 50.</w:t>
            </w:r>
            <w:r w:rsidRPr="00DF2856">
              <w:rPr>
                <w:noProof/>
                <w:color w:val="000000"/>
                <w:lang w:val="fo-FO"/>
              </w:rPr>
              <w:t> Endurgjald fyri mist vinnuføri verður veitt sum framhaldandi árlig veiting, uttan so, at veitingin verður roknað um til eina ávísa</w:t>
            </w:r>
            <w:r w:rsidRPr="00DF2856">
              <w:rPr>
                <w:b/>
                <w:bCs/>
                <w:noProof/>
                <w:color w:val="000000"/>
                <w:lang w:val="fo-FO"/>
              </w:rPr>
              <w:t> </w:t>
            </w:r>
            <w:r w:rsidRPr="00DF2856">
              <w:rPr>
                <w:noProof/>
                <w:color w:val="000000"/>
                <w:lang w:val="fo-FO"/>
              </w:rPr>
              <w:t>peningaupphædd sambært § 51.</w:t>
            </w:r>
          </w:p>
          <w:p w14:paraId="7AA2CF32" w14:textId="77777777" w:rsidR="001E4F35" w:rsidRDefault="001E4F35" w:rsidP="001E4F35">
            <w:pPr>
              <w:pStyle w:val="stk0"/>
              <w:shd w:val="clear" w:color="auto" w:fill="FFFFFF"/>
              <w:spacing w:before="0" w:beforeAutospacing="0" w:after="0" w:afterAutospacing="0" w:line="276" w:lineRule="auto"/>
              <w:ind w:firstLine="170"/>
              <w:rPr>
                <w:i/>
                <w:iCs/>
                <w:noProof/>
                <w:color w:val="000000"/>
                <w:lang w:val="fo-FO"/>
              </w:rPr>
            </w:pPr>
          </w:p>
          <w:p w14:paraId="205DEB76" w14:textId="510CFF16" w:rsidR="00E273FD" w:rsidRPr="00DF2856" w:rsidRDefault="00E273FD" w:rsidP="001E4F35">
            <w:pPr>
              <w:pStyle w:val="stk0"/>
              <w:shd w:val="clear" w:color="auto" w:fill="FFFFFF"/>
              <w:spacing w:before="0" w:beforeAutospacing="0" w:after="0" w:afterAutospacing="0" w:line="276" w:lineRule="auto"/>
              <w:ind w:firstLine="170"/>
              <w:rPr>
                <w:noProof/>
                <w:color w:val="000000"/>
                <w:lang w:val="fo-FO"/>
              </w:rPr>
            </w:pPr>
            <w:r w:rsidRPr="00DF2856">
              <w:rPr>
                <w:i/>
                <w:iCs/>
                <w:noProof/>
                <w:color w:val="000000"/>
                <w:lang w:val="fo-FO"/>
              </w:rPr>
              <w:lastRenderedPageBreak/>
              <w:t>Stk. 2. </w:t>
            </w:r>
            <w:r w:rsidRPr="00DF2856">
              <w:rPr>
                <w:noProof/>
                <w:color w:val="000000"/>
                <w:lang w:val="fo-FO"/>
              </w:rPr>
              <w:t>Tann árliga veitingin verður goldin tryggjaða mánaðarliga frammanundan, og útgjaldingin byrjar, tá avgerðin er tikin, uttan so, at serligar umstøður tala fyri einum øðrum byrjanartíðarskeiði.</w:t>
            </w:r>
          </w:p>
          <w:p w14:paraId="6B35A5E4" w14:textId="77777777" w:rsidR="001E4F35" w:rsidRDefault="001E4F35" w:rsidP="001E4F35">
            <w:pPr>
              <w:pStyle w:val="stk0"/>
              <w:shd w:val="clear" w:color="auto" w:fill="FFFFFF"/>
              <w:spacing w:before="0" w:beforeAutospacing="0" w:after="0" w:afterAutospacing="0" w:line="276" w:lineRule="auto"/>
              <w:ind w:firstLine="170"/>
              <w:rPr>
                <w:i/>
                <w:iCs/>
                <w:noProof/>
                <w:color w:val="000000"/>
                <w:lang w:val="fo-FO"/>
              </w:rPr>
            </w:pPr>
          </w:p>
          <w:p w14:paraId="4E1EE036" w14:textId="2B7E22D8" w:rsidR="00E273FD" w:rsidRPr="00D753C7" w:rsidRDefault="00E273FD" w:rsidP="001E4F35">
            <w:pPr>
              <w:pStyle w:val="stk0"/>
              <w:shd w:val="clear" w:color="auto" w:fill="FFFFFF"/>
              <w:spacing w:before="0" w:beforeAutospacing="0" w:after="0" w:afterAutospacing="0" w:line="276" w:lineRule="auto"/>
              <w:ind w:firstLine="170"/>
              <w:rPr>
                <w:noProof/>
                <w:color w:val="000000"/>
                <w:lang w:val="fo-FO"/>
              </w:rPr>
            </w:pPr>
            <w:r w:rsidRPr="00DF2856">
              <w:rPr>
                <w:i/>
                <w:iCs/>
                <w:noProof/>
                <w:color w:val="000000"/>
                <w:lang w:val="fo-FO"/>
              </w:rPr>
              <w:t>Stk. 3. </w:t>
            </w:r>
            <w:r w:rsidR="007E4A56" w:rsidRPr="007E4A56">
              <w:rPr>
                <w:noProof/>
              </w:rPr>
              <w:t>Framhaldandi endurgjaldsveitingin heldur uppat seinast í mánaðinum, tá tryggjaði nær fólkapensjónsaldur sbrt. løgtingslóg um almannapensjónir o.a., og tryggjaði fær tá í staðin eitt endaligt endurgjald fyri mist vinnuføri, ið svarar til tvær ferðir ta árligu endurgjaldsveitingina eftir § 49. Hevur tryggjaði longu nátt fólkapensjónsaldur sbrt. løgtingslóg um almannapensjónir o.a., tá avgerðin um at veita honum endurgjald fyri mist vinnuføri verður tikin, verður endaliga veitingin somuleiðis tvær ferðir árliga gjaldið, roknað sbrt. § 49.</w:t>
            </w:r>
          </w:p>
          <w:p w14:paraId="5CD5E3FF" w14:textId="77777777" w:rsidR="001E4F35" w:rsidRDefault="001E4F35" w:rsidP="001E4F35">
            <w:pPr>
              <w:pStyle w:val="stk0"/>
              <w:shd w:val="clear" w:color="auto" w:fill="FFFFFF"/>
              <w:spacing w:before="0" w:beforeAutospacing="0" w:after="0" w:afterAutospacing="0" w:line="276" w:lineRule="auto"/>
              <w:ind w:firstLine="170"/>
              <w:rPr>
                <w:i/>
                <w:iCs/>
                <w:noProof/>
                <w:lang w:val="fo-FO"/>
              </w:rPr>
            </w:pPr>
          </w:p>
          <w:p w14:paraId="1A14CCD1" w14:textId="41779A71" w:rsidR="001E4F35" w:rsidRDefault="00E273FD" w:rsidP="00463369">
            <w:pPr>
              <w:pStyle w:val="stk0"/>
              <w:shd w:val="clear" w:color="auto" w:fill="FFFFFF"/>
              <w:spacing w:before="0" w:beforeAutospacing="0" w:after="0" w:afterAutospacing="0" w:line="276" w:lineRule="auto"/>
              <w:ind w:firstLine="170"/>
              <w:rPr>
                <w:noProof/>
                <w:color w:val="000000"/>
                <w:shd w:val="clear" w:color="auto" w:fill="FFFFFF"/>
                <w:lang w:val="fo-FO"/>
              </w:rPr>
            </w:pPr>
            <w:r w:rsidRPr="00DF2856">
              <w:rPr>
                <w:i/>
                <w:iCs/>
                <w:noProof/>
                <w:lang w:val="fo-FO"/>
              </w:rPr>
              <w:t>Stk. 4.</w:t>
            </w:r>
            <w:r w:rsidRPr="00DF2856">
              <w:rPr>
                <w:noProof/>
                <w:lang w:val="fo-FO"/>
              </w:rPr>
              <w:t xml:space="preserve"> </w:t>
            </w:r>
            <w:r w:rsidR="007E4A56" w:rsidRPr="007E4A56">
              <w:rPr>
                <w:noProof/>
                <w:color w:val="000000"/>
                <w:shd w:val="clear" w:color="auto" w:fill="FFFFFF"/>
              </w:rPr>
              <w:t>Endurgjald fyri mist vinnuføri, ið verður veitt sum framhaldandi árlig veiting sbrt. stk. 1, verður javnað sbrt. § 43, stk. 4.</w:t>
            </w:r>
          </w:p>
          <w:p w14:paraId="20D01C2A" w14:textId="0DE4B588" w:rsidR="00777237" w:rsidRPr="001E4F35" w:rsidRDefault="00777237" w:rsidP="00463369">
            <w:pPr>
              <w:pStyle w:val="stk0"/>
              <w:shd w:val="clear" w:color="auto" w:fill="FFFFFF"/>
              <w:spacing w:before="0" w:beforeAutospacing="0" w:after="0" w:afterAutospacing="0" w:line="276" w:lineRule="auto"/>
              <w:ind w:firstLine="170"/>
              <w:rPr>
                <w:noProof/>
                <w:color w:val="000000"/>
                <w:lang w:val="fo-FO"/>
              </w:rPr>
            </w:pPr>
          </w:p>
        </w:tc>
      </w:tr>
      <w:tr w:rsidR="00F62748" w:rsidRPr="00DF2856" w14:paraId="21E38754" w14:textId="77777777" w:rsidTr="001E4F35">
        <w:tc>
          <w:tcPr>
            <w:tcW w:w="4864" w:type="dxa"/>
          </w:tcPr>
          <w:p w14:paraId="65CB8C87" w14:textId="77777777" w:rsidR="00AB4E3E" w:rsidRDefault="00AB4E3E" w:rsidP="001E4F35">
            <w:pPr>
              <w:pStyle w:val="paragraftekst0"/>
              <w:shd w:val="clear" w:color="auto" w:fill="FFFFFF"/>
              <w:spacing w:before="0" w:beforeAutospacing="0" w:after="0" w:afterAutospacing="0" w:line="276" w:lineRule="auto"/>
              <w:ind w:firstLine="170"/>
              <w:rPr>
                <w:b/>
                <w:bCs/>
                <w:noProof/>
                <w:color w:val="000000"/>
                <w:shd w:val="clear" w:color="auto" w:fill="FFFFFF"/>
                <w:lang w:val="fo-FO"/>
              </w:rPr>
            </w:pPr>
          </w:p>
          <w:p w14:paraId="31DC37B4" w14:textId="235DEFF7" w:rsidR="00F62748" w:rsidRPr="00DF2856" w:rsidRDefault="00DF2856" w:rsidP="001E4F35">
            <w:pPr>
              <w:pStyle w:val="paragraftekst0"/>
              <w:shd w:val="clear" w:color="auto" w:fill="FFFFFF"/>
              <w:spacing w:before="0" w:beforeAutospacing="0" w:after="0" w:afterAutospacing="0" w:line="276" w:lineRule="auto"/>
              <w:ind w:firstLine="170"/>
              <w:rPr>
                <w:b/>
                <w:bCs/>
                <w:noProof/>
                <w:color w:val="000000"/>
                <w:lang w:val="fo-FO"/>
              </w:rPr>
            </w:pPr>
            <w:r w:rsidRPr="00DF2856">
              <w:rPr>
                <w:b/>
                <w:bCs/>
                <w:noProof/>
                <w:color w:val="000000"/>
                <w:shd w:val="clear" w:color="auto" w:fill="FFFFFF"/>
                <w:lang w:val="fo-FO"/>
              </w:rPr>
              <w:t>§ 66.</w:t>
            </w:r>
            <w:r w:rsidRPr="00DF2856">
              <w:rPr>
                <w:noProof/>
                <w:color w:val="000000"/>
                <w:shd w:val="clear" w:color="auto" w:fill="FFFFFF"/>
                <w:lang w:val="fo-FO"/>
              </w:rPr>
              <w:t> Endurgjaldið fyri miss av uppihaldara heldur uppat seinast í tí mánaðinum, at tann, ið hevur rætt til veitingina, fyllir 67 ár, og veitt verður tá eitt endaligt endurgjald, ið samsvarar við 2 ferðir tað árliga endurgjaldið sambært § 64, stk. 1.</w:t>
            </w:r>
            <w:r w:rsidRPr="00DF2856">
              <w:rPr>
                <w:i/>
                <w:iCs/>
                <w:noProof/>
                <w:color w:val="000000"/>
                <w:shd w:val="clear" w:color="auto" w:fill="FFFFFF"/>
                <w:lang w:val="fo-FO"/>
              </w:rPr>
              <w:t> </w:t>
            </w:r>
            <w:r w:rsidRPr="00DF2856">
              <w:rPr>
                <w:noProof/>
                <w:color w:val="000000"/>
                <w:shd w:val="clear" w:color="auto" w:fill="FFFFFF"/>
                <w:lang w:val="fo-FO"/>
              </w:rPr>
              <w:t>Sama er galdandi, um viðkomandi longu er fyltur 67 ár, tá tryggjaði læt lív orsakað av arbeiðsskaðanum ella av vinnusjúkuni sbrt. § 10, stk. 1.</w:t>
            </w:r>
          </w:p>
        </w:tc>
        <w:tc>
          <w:tcPr>
            <w:tcW w:w="4862" w:type="dxa"/>
          </w:tcPr>
          <w:p w14:paraId="08BF041A" w14:textId="77777777" w:rsidR="00AB4E3E" w:rsidRDefault="00AB4E3E" w:rsidP="00463369">
            <w:pPr>
              <w:pStyle w:val="paragraftekst0"/>
              <w:shd w:val="clear" w:color="auto" w:fill="FFFFFF"/>
              <w:spacing w:before="0" w:beforeAutospacing="0" w:after="0" w:afterAutospacing="0" w:line="276" w:lineRule="auto"/>
              <w:ind w:firstLine="170"/>
              <w:rPr>
                <w:b/>
                <w:bCs/>
                <w:noProof/>
              </w:rPr>
            </w:pPr>
          </w:p>
          <w:p w14:paraId="106E488D" w14:textId="05A69C20" w:rsidR="001E4F35" w:rsidRDefault="001E4F35" w:rsidP="00463369">
            <w:pPr>
              <w:pStyle w:val="paragraftekst0"/>
              <w:shd w:val="clear" w:color="auto" w:fill="FFFFFF"/>
              <w:spacing w:before="0" w:beforeAutospacing="0" w:after="0" w:afterAutospacing="0" w:line="276" w:lineRule="auto"/>
              <w:ind w:firstLine="170"/>
              <w:rPr>
                <w:noProof/>
              </w:rPr>
            </w:pPr>
            <w:r>
              <w:rPr>
                <w:b/>
                <w:bCs/>
                <w:noProof/>
              </w:rPr>
              <w:t xml:space="preserve">§ 66. </w:t>
            </w:r>
            <w:r w:rsidR="007E4A56" w:rsidRPr="007E4A56">
              <w:rPr>
                <w:noProof/>
              </w:rPr>
              <w:t>Endurgjaldið fyri miss av uppihaldara heldur uppat seinast í tí mánaðinum, at tann, ið hevur rætt til veitingina, nær fólkapensjónsaldur sbrt. løgtingslóg um almannapensjónir o.a., og veitt verður tá eitt endaligt endurgjald, ið samsvarar við tvær ferðir tað árliga endurgjaldið sambært § 64, stk. 1. Sama er galdandi, um viðkomandi, ið hevur rætt til veitingina, longu hevði rætt til fólkapensjón, tá tryggjaði læt lív orsakað av arbeiðsskaðanum ella av vinnusjúkuni sbrt. § 10, stk. 1.</w:t>
            </w:r>
          </w:p>
          <w:p w14:paraId="6851B6ED" w14:textId="2B02406C" w:rsidR="00777237" w:rsidRPr="00DF2856" w:rsidRDefault="00777237" w:rsidP="00463369">
            <w:pPr>
              <w:pStyle w:val="paragraftekst0"/>
              <w:shd w:val="clear" w:color="auto" w:fill="FFFFFF"/>
              <w:spacing w:before="0" w:beforeAutospacing="0" w:after="0" w:afterAutospacing="0" w:line="276" w:lineRule="auto"/>
              <w:ind w:firstLine="170"/>
              <w:rPr>
                <w:b/>
                <w:bCs/>
                <w:noProof/>
                <w:color w:val="000000"/>
                <w:lang w:val="fo-FO"/>
              </w:rPr>
            </w:pPr>
          </w:p>
        </w:tc>
      </w:tr>
    </w:tbl>
    <w:p w14:paraId="73F84A3E" w14:textId="50B19FE4" w:rsidR="00081C11" w:rsidRPr="00C8383D" w:rsidRDefault="00081C11" w:rsidP="00463369">
      <w:pPr>
        <w:spacing w:line="276" w:lineRule="auto"/>
        <w:rPr>
          <w:noProof/>
        </w:rPr>
      </w:pPr>
    </w:p>
    <w:sectPr w:rsidR="00081C11" w:rsidRPr="00C8383D" w:rsidSect="00AB4E3E">
      <w:headerReference w:type="even" r:id="rId7"/>
      <w:headerReference w:type="default" r:id="rId8"/>
      <w:footerReference w:type="default" r:id="rId9"/>
      <w:type w:val="continuous"/>
      <w:pgSz w:w="11906" w:h="16838"/>
      <w:pgMar w:top="993"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1284D" w14:textId="77777777" w:rsidR="00AE1A56" w:rsidRDefault="00AE1A56">
      <w:pPr>
        <w:spacing w:after="0"/>
      </w:pPr>
      <w:r>
        <w:separator/>
      </w:r>
    </w:p>
  </w:endnote>
  <w:endnote w:type="continuationSeparator" w:id="0">
    <w:p w14:paraId="514FD582" w14:textId="77777777" w:rsidR="00AE1A56" w:rsidRDefault="00AE1A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0AC2" w14:textId="77777777" w:rsidR="00532AF3" w:rsidRDefault="00532AF3">
    <w:pPr>
      <w:pStyle w:val="Footer"/>
      <w:jc w:val="center"/>
    </w:pPr>
    <w:r w:rsidRPr="00BD0332">
      <w:rPr>
        <w:bCs/>
      </w:rPr>
      <w:fldChar w:fldCharType="begin"/>
    </w:r>
    <w:r w:rsidRPr="00BD0332">
      <w:rPr>
        <w:bCs/>
      </w:rPr>
      <w:instrText>PAGE</w:instrText>
    </w:r>
    <w:r w:rsidRPr="00BD0332">
      <w:rPr>
        <w:bCs/>
      </w:rPr>
      <w:fldChar w:fldCharType="separate"/>
    </w:r>
    <w:r w:rsidR="00997DB1">
      <w:rPr>
        <w:bCs/>
        <w:noProof/>
      </w:rPr>
      <w:t>10</w:t>
    </w:r>
    <w:r w:rsidRPr="00BD0332">
      <w:rPr>
        <w:bCs/>
      </w:rPr>
      <w:fldChar w:fldCharType="end"/>
    </w:r>
    <w:r>
      <w:t xml:space="preserve"> /</w:t>
    </w:r>
    <w:r w:rsidRPr="00BD0332">
      <w:t xml:space="preserve"> </w:t>
    </w:r>
    <w:r w:rsidRPr="00BD0332">
      <w:rPr>
        <w:bCs/>
      </w:rPr>
      <w:fldChar w:fldCharType="begin"/>
    </w:r>
    <w:r w:rsidRPr="00BD0332">
      <w:rPr>
        <w:bCs/>
      </w:rPr>
      <w:instrText>NUMPAGES</w:instrText>
    </w:r>
    <w:r w:rsidRPr="00BD0332">
      <w:rPr>
        <w:bCs/>
      </w:rPr>
      <w:fldChar w:fldCharType="separate"/>
    </w:r>
    <w:r w:rsidR="00997DB1">
      <w:rPr>
        <w:bCs/>
        <w:noProof/>
      </w:rPr>
      <w:t>10</w:t>
    </w:r>
    <w:r w:rsidRPr="00BD0332">
      <w:rPr>
        <w:bCs/>
      </w:rPr>
      <w:fldChar w:fldCharType="end"/>
    </w:r>
  </w:p>
  <w:p w14:paraId="00F2C0BF" w14:textId="77777777" w:rsidR="00532AF3" w:rsidRDefault="00532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7EB29" w14:textId="77777777" w:rsidR="00AE1A56" w:rsidRDefault="00AE1A56">
      <w:pPr>
        <w:spacing w:after="0"/>
      </w:pPr>
      <w:r>
        <w:separator/>
      </w:r>
    </w:p>
  </w:footnote>
  <w:footnote w:type="continuationSeparator" w:id="0">
    <w:p w14:paraId="117F5521" w14:textId="77777777" w:rsidR="00AE1A56" w:rsidRDefault="00AE1A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147F" w14:textId="77777777" w:rsidR="00532AF3" w:rsidRPr="00DA32B2" w:rsidRDefault="00532AF3">
    <w:pPr>
      <w:pStyle w:val="Header"/>
    </w:pPr>
  </w:p>
  <w:p w14:paraId="479E2C0B" w14:textId="77777777" w:rsidR="00532AF3" w:rsidRPr="00DA32B2" w:rsidRDefault="00532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714E" w14:textId="77777777" w:rsidR="00532AF3" w:rsidRPr="00DA32B2" w:rsidRDefault="00532AF3" w:rsidP="00035C9D">
    <w:pPr>
      <w:pStyle w:val="Header"/>
      <w:tabs>
        <w:tab w:val="left" w:pos="3690"/>
      </w:tabs>
      <w:spacing w:before="24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F1733"/>
    <w:multiLevelType w:val="hybridMultilevel"/>
    <w:tmpl w:val="FC504DA0"/>
    <w:lvl w:ilvl="0" w:tplc="2C3C6B76">
      <w:start w:val="1"/>
      <w:numFmt w:val="bullet"/>
      <w:lvlText w:val="-"/>
      <w:lvlJc w:val="left"/>
      <w:pPr>
        <w:ind w:left="720" w:hanging="360"/>
      </w:pPr>
      <w:rPr>
        <w:rFonts w:ascii="Times New Roman" w:eastAsia="Calibr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5533C68"/>
    <w:multiLevelType w:val="multilevel"/>
    <w:tmpl w:val="26C2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3167D9"/>
    <w:multiLevelType w:val="hybridMultilevel"/>
    <w:tmpl w:val="0414D34E"/>
    <w:lvl w:ilvl="0" w:tplc="75EA089E">
      <w:start w:val="1"/>
      <w:numFmt w:val="decimal"/>
      <w:lvlText w:val="%1."/>
      <w:lvlJc w:val="left"/>
      <w:pPr>
        <w:ind w:left="360" w:hanging="360"/>
      </w:pPr>
      <w:rPr>
        <w:rFonts w:ascii="Times New Roman" w:hAnsi="Times New Roman" w:cs="Times New Roman" w:hint="default"/>
        <w:b/>
        <w:i w:val="0"/>
        <w:sz w:val="24"/>
      </w:rPr>
    </w:lvl>
    <w:lvl w:ilvl="1" w:tplc="04380019">
      <w:start w:val="1"/>
      <w:numFmt w:val="lowerLetter"/>
      <w:lvlText w:val="%2."/>
      <w:lvlJc w:val="left"/>
      <w:pPr>
        <w:ind w:left="1080" w:hanging="360"/>
      </w:pPr>
    </w:lvl>
    <w:lvl w:ilvl="2" w:tplc="0438001B">
      <w:start w:val="1"/>
      <w:numFmt w:val="lowerRoman"/>
      <w:lvlText w:val="%3."/>
      <w:lvlJc w:val="right"/>
      <w:pPr>
        <w:ind w:left="1800" w:hanging="180"/>
      </w:pPr>
    </w:lvl>
    <w:lvl w:ilvl="3" w:tplc="0438000F">
      <w:start w:val="1"/>
      <w:numFmt w:val="decimal"/>
      <w:lvlText w:val="%4."/>
      <w:lvlJc w:val="left"/>
      <w:pPr>
        <w:ind w:left="2520" w:hanging="360"/>
      </w:pPr>
    </w:lvl>
    <w:lvl w:ilvl="4" w:tplc="04380019">
      <w:start w:val="1"/>
      <w:numFmt w:val="lowerLetter"/>
      <w:lvlText w:val="%5."/>
      <w:lvlJc w:val="left"/>
      <w:pPr>
        <w:ind w:left="3240" w:hanging="360"/>
      </w:pPr>
    </w:lvl>
    <w:lvl w:ilvl="5" w:tplc="0438001B">
      <w:start w:val="1"/>
      <w:numFmt w:val="lowerRoman"/>
      <w:lvlText w:val="%6."/>
      <w:lvlJc w:val="right"/>
      <w:pPr>
        <w:ind w:left="3960" w:hanging="180"/>
      </w:pPr>
    </w:lvl>
    <w:lvl w:ilvl="6" w:tplc="0438000F">
      <w:start w:val="1"/>
      <w:numFmt w:val="decimal"/>
      <w:lvlText w:val="%7."/>
      <w:lvlJc w:val="left"/>
      <w:pPr>
        <w:ind w:left="4680" w:hanging="360"/>
      </w:pPr>
    </w:lvl>
    <w:lvl w:ilvl="7" w:tplc="04380019">
      <w:start w:val="1"/>
      <w:numFmt w:val="lowerLetter"/>
      <w:lvlText w:val="%8."/>
      <w:lvlJc w:val="left"/>
      <w:pPr>
        <w:ind w:left="5400" w:hanging="360"/>
      </w:pPr>
    </w:lvl>
    <w:lvl w:ilvl="8" w:tplc="0438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0D"/>
    <w:rsid w:val="000017D4"/>
    <w:rsid w:val="00006C13"/>
    <w:rsid w:val="0002609A"/>
    <w:rsid w:val="0003064D"/>
    <w:rsid w:val="00050599"/>
    <w:rsid w:val="00067A5B"/>
    <w:rsid w:val="00073F0E"/>
    <w:rsid w:val="0007570F"/>
    <w:rsid w:val="00081C11"/>
    <w:rsid w:val="000A129D"/>
    <w:rsid w:val="000B1057"/>
    <w:rsid w:val="000B2A48"/>
    <w:rsid w:val="000D42D4"/>
    <w:rsid w:val="000D7471"/>
    <w:rsid w:val="000F6B24"/>
    <w:rsid w:val="00114E89"/>
    <w:rsid w:val="00124124"/>
    <w:rsid w:val="0013220A"/>
    <w:rsid w:val="001662E4"/>
    <w:rsid w:val="0018539E"/>
    <w:rsid w:val="001A5B40"/>
    <w:rsid w:val="001E182B"/>
    <w:rsid w:val="001E4F35"/>
    <w:rsid w:val="001F46B0"/>
    <w:rsid w:val="00206449"/>
    <w:rsid w:val="002161D6"/>
    <w:rsid w:val="002173D7"/>
    <w:rsid w:val="00223BC7"/>
    <w:rsid w:val="002325BE"/>
    <w:rsid w:val="002434BA"/>
    <w:rsid w:val="00272EF8"/>
    <w:rsid w:val="002760BE"/>
    <w:rsid w:val="002A311D"/>
    <w:rsid w:val="002C3518"/>
    <w:rsid w:val="003403F8"/>
    <w:rsid w:val="00345802"/>
    <w:rsid w:val="00355A6B"/>
    <w:rsid w:val="00373A12"/>
    <w:rsid w:val="00382D3E"/>
    <w:rsid w:val="00387EFF"/>
    <w:rsid w:val="003A14A9"/>
    <w:rsid w:val="003A4EEF"/>
    <w:rsid w:val="003E1C2E"/>
    <w:rsid w:val="00430A21"/>
    <w:rsid w:val="00430B3C"/>
    <w:rsid w:val="00445116"/>
    <w:rsid w:val="00463369"/>
    <w:rsid w:val="00482621"/>
    <w:rsid w:val="004A0C02"/>
    <w:rsid w:val="004B576F"/>
    <w:rsid w:val="004D112E"/>
    <w:rsid w:val="004E33F1"/>
    <w:rsid w:val="004E71E7"/>
    <w:rsid w:val="004F0613"/>
    <w:rsid w:val="004F2F95"/>
    <w:rsid w:val="00500E72"/>
    <w:rsid w:val="00500F83"/>
    <w:rsid w:val="005154E2"/>
    <w:rsid w:val="00522182"/>
    <w:rsid w:val="00532AF3"/>
    <w:rsid w:val="00555CE7"/>
    <w:rsid w:val="0056565C"/>
    <w:rsid w:val="005776D1"/>
    <w:rsid w:val="005F47FE"/>
    <w:rsid w:val="005F7AF1"/>
    <w:rsid w:val="006468FB"/>
    <w:rsid w:val="00650944"/>
    <w:rsid w:val="0065440A"/>
    <w:rsid w:val="00666543"/>
    <w:rsid w:val="00680FEB"/>
    <w:rsid w:val="00692A0F"/>
    <w:rsid w:val="006B6F06"/>
    <w:rsid w:val="006C6489"/>
    <w:rsid w:val="006D527C"/>
    <w:rsid w:val="00705A9F"/>
    <w:rsid w:val="00777237"/>
    <w:rsid w:val="007817E4"/>
    <w:rsid w:val="007B21E9"/>
    <w:rsid w:val="007E220B"/>
    <w:rsid w:val="007E4A56"/>
    <w:rsid w:val="007F6BA3"/>
    <w:rsid w:val="00800623"/>
    <w:rsid w:val="0082566C"/>
    <w:rsid w:val="00825CB3"/>
    <w:rsid w:val="00884748"/>
    <w:rsid w:val="00885451"/>
    <w:rsid w:val="008A2CCC"/>
    <w:rsid w:val="008B2636"/>
    <w:rsid w:val="0090300A"/>
    <w:rsid w:val="00915F2D"/>
    <w:rsid w:val="0092126D"/>
    <w:rsid w:val="009247B3"/>
    <w:rsid w:val="00953772"/>
    <w:rsid w:val="0099427D"/>
    <w:rsid w:val="00997DB1"/>
    <w:rsid w:val="009B1CDB"/>
    <w:rsid w:val="009B5CBC"/>
    <w:rsid w:val="009B6330"/>
    <w:rsid w:val="009C0577"/>
    <w:rsid w:val="00A0696A"/>
    <w:rsid w:val="00A21E7E"/>
    <w:rsid w:val="00A43062"/>
    <w:rsid w:val="00A520AD"/>
    <w:rsid w:val="00A61458"/>
    <w:rsid w:val="00A8127C"/>
    <w:rsid w:val="00A963CC"/>
    <w:rsid w:val="00AB4E3E"/>
    <w:rsid w:val="00AD28FC"/>
    <w:rsid w:val="00AE1A56"/>
    <w:rsid w:val="00AF456A"/>
    <w:rsid w:val="00AF4D40"/>
    <w:rsid w:val="00AF589B"/>
    <w:rsid w:val="00B23B76"/>
    <w:rsid w:val="00B45C30"/>
    <w:rsid w:val="00B57CA7"/>
    <w:rsid w:val="00B75E5F"/>
    <w:rsid w:val="00B94159"/>
    <w:rsid w:val="00B973E6"/>
    <w:rsid w:val="00BF6760"/>
    <w:rsid w:val="00C04D66"/>
    <w:rsid w:val="00C27D81"/>
    <w:rsid w:val="00C318E6"/>
    <w:rsid w:val="00C32A0D"/>
    <w:rsid w:val="00C5553D"/>
    <w:rsid w:val="00C56B72"/>
    <w:rsid w:val="00C8383D"/>
    <w:rsid w:val="00CA0A7F"/>
    <w:rsid w:val="00CB2470"/>
    <w:rsid w:val="00CD1EF7"/>
    <w:rsid w:val="00CF1030"/>
    <w:rsid w:val="00CF6168"/>
    <w:rsid w:val="00D2762A"/>
    <w:rsid w:val="00D37EE6"/>
    <w:rsid w:val="00D4091E"/>
    <w:rsid w:val="00D45581"/>
    <w:rsid w:val="00D508B2"/>
    <w:rsid w:val="00D753C7"/>
    <w:rsid w:val="00DC5C96"/>
    <w:rsid w:val="00DE1485"/>
    <w:rsid w:val="00DE6BFD"/>
    <w:rsid w:val="00DF139F"/>
    <w:rsid w:val="00DF2856"/>
    <w:rsid w:val="00DF4F2D"/>
    <w:rsid w:val="00E0419D"/>
    <w:rsid w:val="00E273FD"/>
    <w:rsid w:val="00E32FB2"/>
    <w:rsid w:val="00E36F2E"/>
    <w:rsid w:val="00E60021"/>
    <w:rsid w:val="00E73922"/>
    <w:rsid w:val="00E94532"/>
    <w:rsid w:val="00EE0487"/>
    <w:rsid w:val="00EF42A3"/>
    <w:rsid w:val="00F00A6A"/>
    <w:rsid w:val="00F07A1C"/>
    <w:rsid w:val="00F2780C"/>
    <w:rsid w:val="00F315D5"/>
    <w:rsid w:val="00F53AFF"/>
    <w:rsid w:val="00F62748"/>
    <w:rsid w:val="00F71071"/>
    <w:rsid w:val="00F94215"/>
    <w:rsid w:val="00FC38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DF13E"/>
  <w14:defaultImageDpi w14:val="330"/>
  <w15:chartTrackingRefBased/>
  <w15:docId w15:val="{7711E0D6-A855-42F8-A86E-83CF2782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fo-FO" w:eastAsia="fo-F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F35"/>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nrdato">
    <w:name w:val="topnrdato"/>
    <w:basedOn w:val="Normal"/>
    <w:next w:val="Normal"/>
    <w:rsid w:val="00666543"/>
    <w:pPr>
      <w:tabs>
        <w:tab w:val="right" w:pos="9638"/>
      </w:tabs>
      <w:spacing w:after="0"/>
    </w:pPr>
    <w:rPr>
      <w:rFonts w:eastAsia="Times New Roman"/>
    </w:rPr>
  </w:style>
  <w:style w:type="paragraph" w:customStyle="1" w:styleId="Stk">
    <w:name w:val="Stk"/>
    <w:basedOn w:val="Normal"/>
    <w:rsid w:val="00AF589B"/>
    <w:pPr>
      <w:spacing w:after="0"/>
      <w:ind w:firstLine="170"/>
    </w:pPr>
    <w:rPr>
      <w:rFonts w:eastAsia="Times New Roman"/>
    </w:rPr>
  </w:style>
  <w:style w:type="paragraph" w:customStyle="1" w:styleId="Paragraftekst">
    <w:name w:val="Paragraftekst"/>
    <w:basedOn w:val="Normal"/>
    <w:next w:val="Normal"/>
    <w:rsid w:val="00AF589B"/>
    <w:pPr>
      <w:spacing w:before="240" w:after="0"/>
      <w:ind w:firstLine="170"/>
    </w:pPr>
    <w:rPr>
      <w:rFonts w:eastAsia="Times New Roman"/>
    </w:rPr>
  </w:style>
  <w:style w:type="paragraph" w:styleId="Header">
    <w:name w:val="header"/>
    <w:basedOn w:val="Normal"/>
    <w:link w:val="HeaderChar"/>
    <w:uiPriority w:val="99"/>
    <w:unhideWhenUsed/>
    <w:rsid w:val="00532AF3"/>
    <w:pPr>
      <w:tabs>
        <w:tab w:val="center" w:pos="4819"/>
        <w:tab w:val="right" w:pos="9638"/>
      </w:tabs>
    </w:pPr>
  </w:style>
  <w:style w:type="character" w:customStyle="1" w:styleId="HeaderChar">
    <w:name w:val="Header Char"/>
    <w:basedOn w:val="DefaultParagraphFont"/>
    <w:link w:val="Header"/>
    <w:uiPriority w:val="99"/>
    <w:rsid w:val="00532AF3"/>
    <w:rPr>
      <w:sz w:val="24"/>
      <w:szCs w:val="22"/>
      <w:lang w:val="da-DK" w:eastAsia="en-US"/>
    </w:rPr>
  </w:style>
  <w:style w:type="paragraph" w:styleId="Footer">
    <w:name w:val="footer"/>
    <w:basedOn w:val="Normal"/>
    <w:link w:val="FooterChar"/>
    <w:uiPriority w:val="99"/>
    <w:unhideWhenUsed/>
    <w:rsid w:val="00532AF3"/>
    <w:pPr>
      <w:tabs>
        <w:tab w:val="center" w:pos="4819"/>
        <w:tab w:val="right" w:pos="9638"/>
      </w:tabs>
    </w:pPr>
  </w:style>
  <w:style w:type="character" w:customStyle="1" w:styleId="FooterChar">
    <w:name w:val="Footer Char"/>
    <w:basedOn w:val="DefaultParagraphFont"/>
    <w:link w:val="Footer"/>
    <w:uiPriority w:val="99"/>
    <w:rsid w:val="00532AF3"/>
    <w:rPr>
      <w:sz w:val="24"/>
      <w:szCs w:val="22"/>
      <w:lang w:val="da-DK" w:eastAsia="en-US"/>
    </w:rPr>
  </w:style>
  <w:style w:type="paragraph" w:styleId="ListParagraph">
    <w:name w:val="List Paragraph"/>
    <w:basedOn w:val="Normal"/>
    <w:uiPriority w:val="34"/>
    <w:qFormat/>
    <w:rsid w:val="00E60021"/>
    <w:pPr>
      <w:ind w:left="720"/>
      <w:contextualSpacing/>
    </w:pPr>
  </w:style>
  <w:style w:type="character" w:customStyle="1" w:styleId="TypografiFed">
    <w:name w:val="Typografi Fed"/>
    <w:basedOn w:val="DefaultParagraphFont"/>
    <w:rsid w:val="00E60021"/>
    <w:rPr>
      <w:rFonts w:ascii="Times New Roman" w:hAnsi="Times New Roman" w:cs="Times New Roman" w:hint="default"/>
      <w:b/>
      <w:bCs/>
      <w:sz w:val="24"/>
    </w:rPr>
  </w:style>
  <w:style w:type="character" w:customStyle="1" w:styleId="TypografiKursiv">
    <w:name w:val="Typografi Kursiv"/>
    <w:basedOn w:val="DefaultParagraphFont"/>
    <w:rsid w:val="00E60021"/>
    <w:rPr>
      <w:rFonts w:ascii="Times New Roman" w:hAnsi="Times New Roman" w:cs="Times New Roman" w:hint="default"/>
      <w:i/>
      <w:iCs/>
      <w:sz w:val="24"/>
    </w:rPr>
  </w:style>
  <w:style w:type="table" w:styleId="TableGrid">
    <w:name w:val="Table Grid"/>
    <w:basedOn w:val="TableNormal"/>
    <w:uiPriority w:val="59"/>
    <w:rsid w:val="00E60021"/>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1">
    <w:name w:val="Tabel - Gitter11"/>
    <w:basedOn w:val="TableNormal"/>
    <w:uiPriority w:val="59"/>
    <w:locked/>
    <w:rsid w:val="00E60021"/>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8539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539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8383D"/>
    <w:rPr>
      <w:color w:val="0000FF"/>
      <w:u w:val="single"/>
    </w:rPr>
  </w:style>
  <w:style w:type="table" w:customStyle="1" w:styleId="TableGrid1">
    <w:name w:val="Table Grid1"/>
    <w:basedOn w:val="TableNormal"/>
    <w:next w:val="TableGrid"/>
    <w:uiPriority w:val="59"/>
    <w:rsid w:val="00E273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tekst0">
    <w:name w:val="paragraftekst"/>
    <w:basedOn w:val="Normal"/>
    <w:rsid w:val="00E273FD"/>
    <w:pPr>
      <w:spacing w:before="100" w:beforeAutospacing="1" w:after="100" w:afterAutospacing="1"/>
    </w:pPr>
    <w:rPr>
      <w:rFonts w:eastAsia="Times New Roman"/>
      <w:lang w:val="da-DK" w:eastAsia="da-DK"/>
    </w:rPr>
  </w:style>
  <w:style w:type="paragraph" w:customStyle="1" w:styleId="stk0">
    <w:name w:val="stk"/>
    <w:basedOn w:val="Normal"/>
    <w:rsid w:val="00E273FD"/>
    <w:pPr>
      <w:spacing w:before="100" w:beforeAutospacing="1" w:after="100" w:afterAutospacing="1"/>
    </w:pPr>
    <w:rPr>
      <w:rFonts w:eastAsia="Times New Roman"/>
      <w:lang w:val="da-DK" w:eastAsia="da-DK"/>
    </w:rPr>
  </w:style>
  <w:style w:type="character" w:styleId="CommentReference">
    <w:name w:val="annotation reference"/>
    <w:basedOn w:val="DefaultParagraphFont"/>
    <w:uiPriority w:val="99"/>
    <w:semiHidden/>
    <w:unhideWhenUsed/>
    <w:rsid w:val="007E220B"/>
    <w:rPr>
      <w:sz w:val="16"/>
      <w:szCs w:val="16"/>
    </w:rPr>
  </w:style>
  <w:style w:type="paragraph" w:styleId="CommentText">
    <w:name w:val="annotation text"/>
    <w:basedOn w:val="Normal"/>
    <w:link w:val="CommentTextChar"/>
    <w:uiPriority w:val="99"/>
    <w:semiHidden/>
    <w:unhideWhenUsed/>
    <w:rsid w:val="007E220B"/>
    <w:rPr>
      <w:sz w:val="20"/>
      <w:szCs w:val="20"/>
    </w:rPr>
  </w:style>
  <w:style w:type="character" w:customStyle="1" w:styleId="CommentTextChar">
    <w:name w:val="Comment Text Char"/>
    <w:basedOn w:val="DefaultParagraphFont"/>
    <w:link w:val="CommentText"/>
    <w:uiPriority w:val="99"/>
    <w:semiHidden/>
    <w:rsid w:val="007E220B"/>
    <w:rPr>
      <w:sz w:val="20"/>
      <w:szCs w:val="20"/>
    </w:rPr>
  </w:style>
  <w:style w:type="paragraph" w:styleId="CommentSubject">
    <w:name w:val="annotation subject"/>
    <w:basedOn w:val="CommentText"/>
    <w:next w:val="CommentText"/>
    <w:link w:val="CommentSubjectChar"/>
    <w:uiPriority w:val="99"/>
    <w:semiHidden/>
    <w:unhideWhenUsed/>
    <w:rsid w:val="007E220B"/>
    <w:rPr>
      <w:b/>
      <w:bCs/>
    </w:rPr>
  </w:style>
  <w:style w:type="character" w:customStyle="1" w:styleId="CommentSubjectChar">
    <w:name w:val="Comment Subject Char"/>
    <w:basedOn w:val="CommentTextChar"/>
    <w:link w:val="CommentSubject"/>
    <w:uiPriority w:val="99"/>
    <w:semiHidden/>
    <w:rsid w:val="007E220B"/>
    <w:rPr>
      <w:b/>
      <w:bCs/>
      <w:sz w:val="20"/>
      <w:szCs w:val="20"/>
    </w:rPr>
  </w:style>
  <w:style w:type="paragraph" w:styleId="Revision">
    <w:name w:val="Revision"/>
    <w:hidden/>
    <w:uiPriority w:val="99"/>
    <w:semiHidden/>
    <w:rsid w:val="007E220B"/>
  </w:style>
  <w:style w:type="character" w:styleId="UnresolvedMention">
    <w:name w:val="Unresolved Mention"/>
    <w:basedOn w:val="DefaultParagraphFont"/>
    <w:uiPriority w:val="99"/>
    <w:semiHidden/>
    <w:unhideWhenUsed/>
    <w:rsid w:val="005154E2"/>
    <w:rPr>
      <w:color w:val="605E5C"/>
      <w:shd w:val="clear" w:color="auto" w:fill="E1DFDD"/>
    </w:rPr>
  </w:style>
  <w:style w:type="character" w:styleId="FollowedHyperlink">
    <w:name w:val="FollowedHyperlink"/>
    <w:basedOn w:val="DefaultParagraphFont"/>
    <w:uiPriority w:val="99"/>
    <w:semiHidden/>
    <w:unhideWhenUsed/>
    <w:rsid w:val="0065440A"/>
    <w:rPr>
      <w:color w:val="954F72" w:themeColor="followedHyperlink"/>
      <w:u w:val="single"/>
    </w:rPr>
  </w:style>
  <w:style w:type="character" w:styleId="FootnoteReference">
    <w:name w:val="footnote reference"/>
    <w:basedOn w:val="DefaultParagraphFont"/>
    <w:uiPriority w:val="99"/>
    <w:semiHidden/>
    <w:unhideWhenUsed/>
    <w:rsid w:val="00DF2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8346">
      <w:bodyDiv w:val="1"/>
      <w:marLeft w:val="0"/>
      <w:marRight w:val="0"/>
      <w:marTop w:val="0"/>
      <w:marBottom w:val="0"/>
      <w:divBdr>
        <w:top w:val="none" w:sz="0" w:space="0" w:color="auto"/>
        <w:left w:val="none" w:sz="0" w:space="0" w:color="auto"/>
        <w:bottom w:val="none" w:sz="0" w:space="0" w:color="auto"/>
        <w:right w:val="none" w:sz="0" w:space="0" w:color="auto"/>
      </w:divBdr>
    </w:div>
    <w:div w:id="139730370">
      <w:bodyDiv w:val="1"/>
      <w:marLeft w:val="0"/>
      <w:marRight w:val="0"/>
      <w:marTop w:val="0"/>
      <w:marBottom w:val="0"/>
      <w:divBdr>
        <w:top w:val="none" w:sz="0" w:space="0" w:color="auto"/>
        <w:left w:val="none" w:sz="0" w:space="0" w:color="auto"/>
        <w:bottom w:val="none" w:sz="0" w:space="0" w:color="auto"/>
        <w:right w:val="none" w:sz="0" w:space="0" w:color="auto"/>
      </w:divBdr>
    </w:div>
    <w:div w:id="205339046">
      <w:bodyDiv w:val="1"/>
      <w:marLeft w:val="0"/>
      <w:marRight w:val="0"/>
      <w:marTop w:val="0"/>
      <w:marBottom w:val="0"/>
      <w:divBdr>
        <w:top w:val="none" w:sz="0" w:space="0" w:color="auto"/>
        <w:left w:val="none" w:sz="0" w:space="0" w:color="auto"/>
        <w:bottom w:val="none" w:sz="0" w:space="0" w:color="auto"/>
        <w:right w:val="none" w:sz="0" w:space="0" w:color="auto"/>
      </w:divBdr>
    </w:div>
    <w:div w:id="252788949">
      <w:bodyDiv w:val="1"/>
      <w:marLeft w:val="0"/>
      <w:marRight w:val="0"/>
      <w:marTop w:val="0"/>
      <w:marBottom w:val="0"/>
      <w:divBdr>
        <w:top w:val="none" w:sz="0" w:space="0" w:color="auto"/>
        <w:left w:val="none" w:sz="0" w:space="0" w:color="auto"/>
        <w:bottom w:val="none" w:sz="0" w:space="0" w:color="auto"/>
        <w:right w:val="none" w:sz="0" w:space="0" w:color="auto"/>
      </w:divBdr>
    </w:div>
    <w:div w:id="435102274">
      <w:bodyDiv w:val="1"/>
      <w:marLeft w:val="0"/>
      <w:marRight w:val="0"/>
      <w:marTop w:val="0"/>
      <w:marBottom w:val="0"/>
      <w:divBdr>
        <w:top w:val="none" w:sz="0" w:space="0" w:color="auto"/>
        <w:left w:val="none" w:sz="0" w:space="0" w:color="auto"/>
        <w:bottom w:val="none" w:sz="0" w:space="0" w:color="auto"/>
        <w:right w:val="none" w:sz="0" w:space="0" w:color="auto"/>
      </w:divBdr>
    </w:div>
    <w:div w:id="1858806020">
      <w:bodyDiv w:val="1"/>
      <w:marLeft w:val="0"/>
      <w:marRight w:val="0"/>
      <w:marTop w:val="0"/>
      <w:marBottom w:val="0"/>
      <w:divBdr>
        <w:top w:val="none" w:sz="0" w:space="0" w:color="auto"/>
        <w:left w:val="none" w:sz="0" w:space="0" w:color="auto"/>
        <w:bottom w:val="none" w:sz="0" w:space="0" w:color="auto"/>
        <w:right w:val="none" w:sz="0" w:space="0" w:color="auto"/>
      </w:divBdr>
    </w:div>
    <w:div w:id="1995642216">
      <w:bodyDiv w:val="1"/>
      <w:marLeft w:val="0"/>
      <w:marRight w:val="0"/>
      <w:marTop w:val="0"/>
      <w:marBottom w:val="0"/>
      <w:divBdr>
        <w:top w:val="none" w:sz="0" w:space="0" w:color="auto"/>
        <w:left w:val="none" w:sz="0" w:space="0" w:color="auto"/>
        <w:bottom w:val="none" w:sz="0" w:space="0" w:color="auto"/>
        <w:right w:val="none" w:sz="0" w:space="0" w:color="auto"/>
      </w:divBdr>
    </w:div>
    <w:div w:id="205265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1</ap:TotalTime>
  <ap:Pages>2</ap:Pages>
  <ap:Words>619</ap:Words>
  <ap:Characters>3779</ap:Characters>
  <ap:Application>Microsoft Office Word</ap:Application>
  <ap:DocSecurity>4</ap:DocSecurity>
  <ap:Lines>31</ap:Lines>
  <ap:Paragraphs>8</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Uppskot til broytingarløgtingslóg</vt:lpstr>
      <vt:lpstr>Uppskot til broytingarløgtingslóg</vt:lpstr>
    </vt:vector>
  </ap:TitlesOfParts>
  <ap:Company>Lógartænastan</ap:Company>
  <ap:LinksUpToDate>false</ap:LinksUpToDate>
  <ap:CharactersWithSpaces>4390</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broytingarløgtingslóg</dc:title>
  <dc:subject>Uppskot til broytingarløgtingslóg løgtingslóg</dc:subject>
  <dc:creator>Mortan Hentze</dc:creator>
  <cp:keywords>5. útgáva - desember 2020</cp:keywords>
  <dc:description>Uppskot til broytingarløgtingslóg - 5. útgáva -desember 2020</dc:description>
  <cp:lastModifiedBy>Jóannes N. Dalsgaard</cp:lastModifiedBy>
  <cp:revision>2</cp:revision>
  <dcterms:created xsi:type="dcterms:W3CDTF">2023-04-17T11:51:00Z</dcterms:created>
  <dcterms:modified xsi:type="dcterms:W3CDTF">2023-04-17T11:51:00Z</dcterms:modified>
</cp:coreProperties>
</file>