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E2D8A" w14:textId="61F6F1E5" w:rsidR="00895D86" w:rsidRPr="000D1D9D" w:rsidRDefault="00895D86" w:rsidP="00895D86">
      <w:pPr>
        <w:jc w:val="center"/>
        <w:rPr>
          <w:rFonts w:cs="Times New Roman"/>
          <w:b/>
          <w:sz w:val="32"/>
          <w:szCs w:val="32"/>
          <w:lang w:val="fo-FO"/>
        </w:rPr>
      </w:pPr>
      <w:r w:rsidRPr="000D1D9D">
        <w:rPr>
          <w:noProof/>
          <w:lang w:val="fo-FO" w:eastAsia="fo-FO"/>
        </w:rPr>
        <w:drawing>
          <wp:anchor distT="0" distB="0" distL="114300" distR="114300" simplePos="0" relativeHeight="251659264" behindDoc="0" locked="0" layoutInCell="1" allowOverlap="1" wp14:anchorId="191C4FDB" wp14:editId="6E3033D6">
            <wp:simplePos x="0" y="0"/>
            <wp:positionH relativeFrom="column">
              <wp:posOffset>2600325</wp:posOffset>
            </wp:positionH>
            <wp:positionV relativeFrom="paragraph">
              <wp:posOffset>0</wp:posOffset>
            </wp:positionV>
            <wp:extent cx="619125" cy="660400"/>
            <wp:effectExtent l="0" t="0" r="9525" b="6350"/>
            <wp:wrapTopAndBottom/>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pic:spPr>
                </pic:pic>
              </a:graphicData>
            </a:graphic>
            <wp14:sizeRelH relativeFrom="margin">
              <wp14:pctWidth>0</wp14:pctWidth>
            </wp14:sizeRelH>
            <wp14:sizeRelV relativeFrom="margin">
              <wp14:pctHeight>0</wp14:pctHeight>
            </wp14:sizeRelV>
          </wp:anchor>
        </w:drawing>
      </w:r>
      <w:r w:rsidR="000D1D9D">
        <w:rPr>
          <w:rFonts w:cs="Times New Roman"/>
          <w:b/>
          <w:sz w:val="32"/>
          <w:szCs w:val="32"/>
          <w:lang w:val="fo-FO"/>
        </w:rPr>
        <w:t>Umhvørvis- og vinnumálaráðið</w:t>
      </w:r>
    </w:p>
    <w:p w14:paraId="01B5EB51" w14:textId="77777777" w:rsidR="00895D86" w:rsidRPr="000D1D9D" w:rsidRDefault="00895D86" w:rsidP="00895D86">
      <w:pPr>
        <w:rPr>
          <w:rStyle w:val="TypografiFed"/>
          <w:lang w:val="fo-FO"/>
        </w:rPr>
      </w:pPr>
    </w:p>
    <w:p w14:paraId="3B11305C" w14:textId="77777777" w:rsidR="00895D86" w:rsidRPr="000D1D9D" w:rsidRDefault="00895D86" w:rsidP="00895D86">
      <w:pPr>
        <w:rPr>
          <w:lang w:val="fo-FO"/>
        </w:rPr>
      </w:pPr>
    </w:p>
    <w:tbl>
      <w:tblPr>
        <w:tblW w:w="0" w:type="auto"/>
        <w:jc w:val="right"/>
        <w:tblLook w:val="04A0" w:firstRow="1" w:lastRow="0" w:firstColumn="1" w:lastColumn="0" w:noHBand="0" w:noVBand="1"/>
      </w:tblPr>
      <w:tblGrid>
        <w:gridCol w:w="1508"/>
        <w:gridCol w:w="1613"/>
      </w:tblGrid>
      <w:tr w:rsidR="00173350" w:rsidRPr="000D1D9D" w14:paraId="40680A68" w14:textId="77777777" w:rsidTr="000D1D9D">
        <w:trPr>
          <w:trHeight w:val="241"/>
          <w:jc w:val="right"/>
        </w:trPr>
        <w:tc>
          <w:tcPr>
            <w:tcW w:w="1508" w:type="dxa"/>
            <w:hideMark/>
          </w:tcPr>
          <w:p w14:paraId="1D78FA2A" w14:textId="77777777" w:rsidR="00173350" w:rsidRPr="000D1D9D" w:rsidRDefault="00173350">
            <w:pPr>
              <w:rPr>
                <w:sz w:val="20"/>
                <w:szCs w:val="18"/>
                <w:lang w:val="fo-FO" w:eastAsia="fo-FO"/>
              </w:rPr>
            </w:pPr>
            <w:r w:rsidRPr="000D1D9D">
              <w:rPr>
                <w:sz w:val="20"/>
                <w:szCs w:val="18"/>
                <w:lang w:val="fo-FO"/>
              </w:rPr>
              <w:t>Dagfesting:</w:t>
            </w:r>
            <w:r w:rsidRPr="000D1D9D">
              <w:rPr>
                <w:noProof/>
                <w:sz w:val="20"/>
                <w:szCs w:val="18"/>
                <w:lang w:val="fo-FO"/>
              </w:rPr>
              <w:t xml:space="preserve"> </w:t>
            </w:r>
          </w:p>
        </w:tc>
        <w:tc>
          <w:tcPr>
            <w:tcW w:w="1613" w:type="dxa"/>
            <w:hideMark/>
          </w:tcPr>
          <w:p w14:paraId="4521E557" w14:textId="6A57B724" w:rsidR="00173350" w:rsidRPr="000D1D9D" w:rsidRDefault="000D1D9D">
            <w:pPr>
              <w:tabs>
                <w:tab w:val="center" w:pos="4513"/>
                <w:tab w:val="right" w:pos="9026"/>
              </w:tabs>
              <w:rPr>
                <w:sz w:val="20"/>
                <w:szCs w:val="18"/>
                <w:lang w:val="fo-FO"/>
              </w:rPr>
            </w:pPr>
            <w:r w:rsidRPr="000D1D9D">
              <w:rPr>
                <w:sz w:val="20"/>
                <w:szCs w:val="18"/>
                <w:lang w:val="fo-FO"/>
              </w:rPr>
              <w:t>2</w:t>
            </w:r>
            <w:r w:rsidR="00DC04DD">
              <w:rPr>
                <w:sz w:val="20"/>
                <w:szCs w:val="18"/>
                <w:lang w:val="fo-FO"/>
              </w:rPr>
              <w:t>6</w:t>
            </w:r>
            <w:r w:rsidRPr="000D1D9D">
              <w:rPr>
                <w:sz w:val="20"/>
                <w:szCs w:val="18"/>
                <w:lang w:val="fo-FO"/>
              </w:rPr>
              <w:t>. august 2022</w:t>
            </w:r>
          </w:p>
        </w:tc>
      </w:tr>
      <w:tr w:rsidR="00173350" w:rsidRPr="000D1D9D" w14:paraId="6032B6BB" w14:textId="77777777" w:rsidTr="000D1D9D">
        <w:trPr>
          <w:trHeight w:val="253"/>
          <w:jc w:val="right"/>
        </w:trPr>
        <w:tc>
          <w:tcPr>
            <w:tcW w:w="1508" w:type="dxa"/>
            <w:hideMark/>
          </w:tcPr>
          <w:p w14:paraId="7263FC6A" w14:textId="77777777" w:rsidR="00173350" w:rsidRPr="000D1D9D" w:rsidRDefault="00173350">
            <w:pPr>
              <w:rPr>
                <w:sz w:val="20"/>
                <w:szCs w:val="18"/>
                <w:lang w:val="fo-FO"/>
              </w:rPr>
            </w:pPr>
            <w:r w:rsidRPr="000D1D9D">
              <w:rPr>
                <w:sz w:val="20"/>
                <w:szCs w:val="18"/>
                <w:lang w:val="fo-FO"/>
              </w:rPr>
              <w:t>Mál nr.:</w:t>
            </w:r>
          </w:p>
        </w:tc>
        <w:tc>
          <w:tcPr>
            <w:tcW w:w="1613" w:type="dxa"/>
            <w:hideMark/>
          </w:tcPr>
          <w:p w14:paraId="00D75709" w14:textId="43F257DF" w:rsidR="00173350" w:rsidRPr="000D1D9D" w:rsidRDefault="000D1D9D">
            <w:pPr>
              <w:tabs>
                <w:tab w:val="center" w:pos="4513"/>
                <w:tab w:val="right" w:pos="9026"/>
              </w:tabs>
              <w:rPr>
                <w:sz w:val="20"/>
                <w:szCs w:val="18"/>
                <w:lang w:val="fo-FO"/>
              </w:rPr>
            </w:pPr>
            <w:r>
              <w:rPr>
                <w:sz w:val="20"/>
                <w:szCs w:val="18"/>
                <w:lang w:val="fo-FO"/>
              </w:rPr>
              <w:t>20/06449</w:t>
            </w:r>
          </w:p>
        </w:tc>
      </w:tr>
      <w:tr w:rsidR="00173350" w:rsidRPr="000D1D9D" w14:paraId="15FB2F1A" w14:textId="77777777" w:rsidTr="000D1D9D">
        <w:trPr>
          <w:trHeight w:val="241"/>
          <w:jc w:val="right"/>
        </w:trPr>
        <w:tc>
          <w:tcPr>
            <w:tcW w:w="1508" w:type="dxa"/>
            <w:hideMark/>
          </w:tcPr>
          <w:p w14:paraId="14990233" w14:textId="77777777" w:rsidR="00173350" w:rsidRPr="000D1D9D" w:rsidRDefault="00173350">
            <w:pPr>
              <w:rPr>
                <w:sz w:val="20"/>
                <w:szCs w:val="18"/>
                <w:lang w:val="fo-FO"/>
              </w:rPr>
            </w:pPr>
            <w:r w:rsidRPr="000D1D9D">
              <w:rPr>
                <w:sz w:val="20"/>
                <w:szCs w:val="18"/>
                <w:lang w:val="fo-FO"/>
              </w:rPr>
              <w:t>Málsviðgjørt:</w:t>
            </w:r>
          </w:p>
        </w:tc>
        <w:tc>
          <w:tcPr>
            <w:tcW w:w="1613" w:type="dxa"/>
            <w:hideMark/>
          </w:tcPr>
          <w:p w14:paraId="4CF60A6F" w14:textId="678EA181" w:rsidR="00173350" w:rsidRPr="000D1D9D" w:rsidRDefault="000D1D9D">
            <w:pPr>
              <w:tabs>
                <w:tab w:val="center" w:pos="4513"/>
                <w:tab w:val="right" w:pos="9026"/>
              </w:tabs>
              <w:rPr>
                <w:sz w:val="20"/>
                <w:szCs w:val="18"/>
                <w:lang w:val="fo-FO"/>
              </w:rPr>
            </w:pPr>
            <w:proofErr w:type="spellStart"/>
            <w:r>
              <w:rPr>
                <w:sz w:val="20"/>
                <w:szCs w:val="18"/>
                <w:lang w:val="fo-FO"/>
              </w:rPr>
              <w:t>jd</w:t>
            </w:r>
            <w:proofErr w:type="spellEnd"/>
          </w:p>
        </w:tc>
      </w:tr>
      <w:tr w:rsidR="00173350" w:rsidRPr="000D1D9D" w14:paraId="31A2703F" w14:textId="77777777" w:rsidTr="000D1D9D">
        <w:trPr>
          <w:trHeight w:val="241"/>
          <w:jc w:val="right"/>
        </w:trPr>
        <w:tc>
          <w:tcPr>
            <w:tcW w:w="1508" w:type="dxa"/>
            <w:hideMark/>
          </w:tcPr>
          <w:p w14:paraId="604AA5B3" w14:textId="77777777" w:rsidR="00173350" w:rsidRPr="00CA4B5E" w:rsidRDefault="00173350">
            <w:pPr>
              <w:rPr>
                <w:sz w:val="20"/>
                <w:szCs w:val="18"/>
                <w:lang w:val="fo-FO"/>
              </w:rPr>
            </w:pPr>
            <w:r w:rsidRPr="00CA4B5E">
              <w:rPr>
                <w:sz w:val="20"/>
                <w:szCs w:val="18"/>
                <w:lang w:val="fo-FO"/>
              </w:rPr>
              <w:t>Ummælistíð:</w:t>
            </w:r>
          </w:p>
        </w:tc>
        <w:tc>
          <w:tcPr>
            <w:tcW w:w="1613" w:type="dxa"/>
            <w:hideMark/>
          </w:tcPr>
          <w:p w14:paraId="2AC3B924" w14:textId="74C9A6D1" w:rsidR="00173350" w:rsidRPr="00CA4B5E" w:rsidRDefault="00CA4B5E">
            <w:pPr>
              <w:tabs>
                <w:tab w:val="center" w:pos="4513"/>
                <w:tab w:val="right" w:pos="9026"/>
              </w:tabs>
              <w:rPr>
                <w:sz w:val="20"/>
                <w:szCs w:val="18"/>
                <w:lang w:val="fo-FO"/>
              </w:rPr>
            </w:pPr>
            <w:r w:rsidRPr="00CA4B5E">
              <w:rPr>
                <w:sz w:val="20"/>
                <w:szCs w:val="18"/>
                <w:lang w:val="fo-FO"/>
              </w:rPr>
              <w:t>2</w:t>
            </w:r>
            <w:r w:rsidR="00DC04DD">
              <w:rPr>
                <w:sz w:val="20"/>
                <w:szCs w:val="18"/>
                <w:lang w:val="fo-FO"/>
              </w:rPr>
              <w:t>6</w:t>
            </w:r>
            <w:r w:rsidRPr="00CA4B5E">
              <w:rPr>
                <w:sz w:val="20"/>
                <w:szCs w:val="18"/>
                <w:lang w:val="fo-FO"/>
              </w:rPr>
              <w:t>. august-2</w:t>
            </w:r>
            <w:r w:rsidR="00DC04DD">
              <w:rPr>
                <w:sz w:val="20"/>
                <w:szCs w:val="18"/>
                <w:lang w:val="fo-FO"/>
              </w:rPr>
              <w:t>3</w:t>
            </w:r>
            <w:r w:rsidRPr="00CA4B5E">
              <w:rPr>
                <w:sz w:val="20"/>
                <w:szCs w:val="18"/>
                <w:lang w:val="fo-FO"/>
              </w:rPr>
              <w:t>. september 2022</w:t>
            </w:r>
          </w:p>
        </w:tc>
      </w:tr>
      <w:tr w:rsidR="00173350" w:rsidRPr="000D1D9D" w14:paraId="38AF4579" w14:textId="77777777" w:rsidTr="000D1D9D">
        <w:trPr>
          <w:trHeight w:val="397"/>
          <w:jc w:val="right"/>
        </w:trPr>
        <w:tc>
          <w:tcPr>
            <w:tcW w:w="1508" w:type="dxa"/>
            <w:hideMark/>
          </w:tcPr>
          <w:p w14:paraId="3FB8F661" w14:textId="77777777" w:rsidR="00173350" w:rsidRPr="000D1D9D" w:rsidRDefault="00173350">
            <w:pPr>
              <w:rPr>
                <w:sz w:val="20"/>
                <w:szCs w:val="18"/>
                <w:highlight w:val="yellow"/>
                <w:lang w:val="fo-FO"/>
              </w:rPr>
            </w:pPr>
            <w:r w:rsidRPr="000D1D9D">
              <w:rPr>
                <w:sz w:val="20"/>
                <w:szCs w:val="18"/>
                <w:highlight w:val="yellow"/>
                <w:lang w:val="fo-FO"/>
              </w:rPr>
              <w:t>Eftirkannað:</w:t>
            </w:r>
          </w:p>
        </w:tc>
        <w:tc>
          <w:tcPr>
            <w:tcW w:w="1613" w:type="dxa"/>
            <w:hideMark/>
          </w:tcPr>
          <w:p w14:paraId="35D0CABE" w14:textId="77777777" w:rsidR="00173350" w:rsidRPr="000D1D9D" w:rsidRDefault="00173350">
            <w:pPr>
              <w:tabs>
                <w:tab w:val="center" w:pos="4513"/>
                <w:tab w:val="right" w:pos="9026"/>
              </w:tabs>
              <w:rPr>
                <w:sz w:val="20"/>
                <w:szCs w:val="18"/>
                <w:highlight w:val="yellow"/>
                <w:lang w:val="fo-FO"/>
              </w:rPr>
            </w:pPr>
            <w:r w:rsidRPr="000D1D9D">
              <w:rPr>
                <w:sz w:val="20"/>
                <w:szCs w:val="18"/>
                <w:highlight w:val="yellow"/>
                <w:lang w:val="fo-FO"/>
              </w:rPr>
              <w:t>Lógartænastan</w:t>
            </w:r>
          </w:p>
          <w:p w14:paraId="25FEBD42" w14:textId="77777777" w:rsidR="00173350" w:rsidRPr="000D1D9D" w:rsidRDefault="00173350">
            <w:pPr>
              <w:tabs>
                <w:tab w:val="center" w:pos="4513"/>
                <w:tab w:val="right" w:pos="9026"/>
              </w:tabs>
              <w:rPr>
                <w:sz w:val="20"/>
                <w:szCs w:val="18"/>
                <w:highlight w:val="yellow"/>
                <w:lang w:val="fo-FO"/>
              </w:rPr>
            </w:pPr>
            <w:r w:rsidRPr="000D1D9D">
              <w:rPr>
                <w:sz w:val="20"/>
                <w:szCs w:val="18"/>
                <w:highlight w:val="yellow"/>
                <w:lang w:val="fo-FO"/>
              </w:rPr>
              <w:t xml:space="preserve">dagfestir </w:t>
            </w:r>
          </w:p>
        </w:tc>
      </w:tr>
    </w:tbl>
    <w:p w14:paraId="37090B26" w14:textId="77777777" w:rsidR="00895D86" w:rsidRPr="000D1D9D" w:rsidRDefault="00895D86" w:rsidP="00895D86">
      <w:pPr>
        <w:rPr>
          <w:szCs w:val="24"/>
          <w:lang w:val="fo-FO"/>
        </w:rPr>
      </w:pPr>
    </w:p>
    <w:p w14:paraId="70FD82A0" w14:textId="77777777" w:rsidR="00895D86" w:rsidRPr="000D1D9D" w:rsidRDefault="00895D86" w:rsidP="00895D86">
      <w:pPr>
        <w:rPr>
          <w:rFonts w:cs="Times New Roman"/>
          <w:szCs w:val="24"/>
          <w:lang w:val="fo-FO"/>
        </w:rPr>
      </w:pPr>
    </w:p>
    <w:p w14:paraId="48891B73" w14:textId="77777777" w:rsidR="00895D86" w:rsidRPr="000D1D9D" w:rsidRDefault="00895D86" w:rsidP="00895D86">
      <w:pPr>
        <w:rPr>
          <w:lang w:val="fo-FO"/>
        </w:rPr>
      </w:pPr>
    </w:p>
    <w:p w14:paraId="4EEEF733" w14:textId="77777777" w:rsidR="00895D86" w:rsidRPr="000D1D9D" w:rsidRDefault="00895D86" w:rsidP="00895D86">
      <w:pPr>
        <w:jc w:val="center"/>
        <w:rPr>
          <w:rFonts w:cs="Times New Roman"/>
          <w:b/>
          <w:szCs w:val="24"/>
          <w:lang w:val="fo-FO"/>
        </w:rPr>
      </w:pPr>
      <w:r w:rsidRPr="000D1D9D">
        <w:rPr>
          <w:rFonts w:cs="Times New Roman"/>
          <w:b/>
          <w:szCs w:val="24"/>
          <w:lang w:val="fo-FO"/>
        </w:rPr>
        <w:t>Uppskot til</w:t>
      </w:r>
    </w:p>
    <w:p w14:paraId="408E32FF" w14:textId="77777777" w:rsidR="00895D86" w:rsidRPr="000D1D9D" w:rsidRDefault="00895D86" w:rsidP="00895D86">
      <w:pPr>
        <w:jc w:val="center"/>
        <w:rPr>
          <w:rFonts w:cs="Times New Roman"/>
          <w:b/>
          <w:szCs w:val="24"/>
          <w:lang w:val="fo-FO"/>
        </w:rPr>
      </w:pPr>
    </w:p>
    <w:p w14:paraId="2A4747D1" w14:textId="77777777" w:rsidR="00895D86" w:rsidRPr="000D1D9D" w:rsidRDefault="00895D86" w:rsidP="00895D86">
      <w:pPr>
        <w:jc w:val="center"/>
        <w:rPr>
          <w:rFonts w:cs="Times New Roman"/>
          <w:b/>
          <w:szCs w:val="24"/>
          <w:lang w:val="fo-FO"/>
        </w:rPr>
      </w:pPr>
      <w:r w:rsidRPr="000D1D9D">
        <w:rPr>
          <w:rFonts w:cs="Times New Roman"/>
          <w:b/>
          <w:szCs w:val="24"/>
          <w:lang w:val="fo-FO"/>
        </w:rPr>
        <w:t>Kunngerð</w:t>
      </w:r>
    </w:p>
    <w:p w14:paraId="0B9AD4FA" w14:textId="77777777" w:rsidR="00895D86" w:rsidRPr="000D1D9D" w:rsidRDefault="00895D86" w:rsidP="00895D86">
      <w:pPr>
        <w:jc w:val="center"/>
        <w:rPr>
          <w:rFonts w:cs="Times New Roman"/>
          <w:b/>
          <w:szCs w:val="24"/>
          <w:lang w:val="fo-FO"/>
        </w:rPr>
      </w:pPr>
      <w:r w:rsidRPr="000D1D9D">
        <w:rPr>
          <w:rFonts w:cs="Times New Roman"/>
          <w:b/>
          <w:szCs w:val="24"/>
          <w:lang w:val="fo-FO"/>
        </w:rPr>
        <w:t>um</w:t>
      </w:r>
    </w:p>
    <w:p w14:paraId="1A16ACF9" w14:textId="5F070ACC" w:rsidR="00895D86" w:rsidRPr="000D1D9D" w:rsidRDefault="000D1D9D" w:rsidP="000D1D9D">
      <w:pPr>
        <w:jc w:val="center"/>
        <w:rPr>
          <w:rFonts w:cs="Times New Roman"/>
          <w:b/>
          <w:bCs/>
          <w:szCs w:val="24"/>
          <w:lang w:val="fo-FO"/>
        </w:rPr>
      </w:pPr>
      <w:r w:rsidRPr="000D1D9D">
        <w:rPr>
          <w:rFonts w:cs="Times New Roman"/>
          <w:b/>
          <w:bCs/>
          <w:szCs w:val="24"/>
          <w:lang w:val="fo-FO"/>
        </w:rPr>
        <w:t>Kunngerð um upplýsingar til keypara um søluprís og eindarprís</w:t>
      </w:r>
    </w:p>
    <w:p w14:paraId="7970B922" w14:textId="77777777" w:rsidR="000D1D9D" w:rsidRPr="000D1D9D" w:rsidRDefault="000D1D9D" w:rsidP="000D1D9D">
      <w:pPr>
        <w:jc w:val="center"/>
        <w:rPr>
          <w:rFonts w:cs="Times New Roman"/>
          <w:b/>
          <w:szCs w:val="24"/>
          <w:lang w:val="fo-FO"/>
        </w:rPr>
      </w:pPr>
    </w:p>
    <w:p w14:paraId="6517E1FB" w14:textId="72F699A1" w:rsidR="000D1D9D" w:rsidRPr="000D1D9D" w:rsidRDefault="000D1D9D" w:rsidP="000D1D9D">
      <w:pPr>
        <w:jc w:val="center"/>
        <w:rPr>
          <w:rFonts w:cs="Times New Roman"/>
          <w:b/>
          <w:szCs w:val="24"/>
          <w:lang w:val="fo-FO"/>
        </w:rPr>
        <w:sectPr w:rsidR="000D1D9D" w:rsidRPr="000D1D9D" w:rsidSect="00895D86">
          <w:pgSz w:w="11906" w:h="16838"/>
          <w:pgMar w:top="1440" w:right="1440" w:bottom="1440" w:left="1440" w:header="709" w:footer="709" w:gutter="0"/>
          <w:cols w:space="708"/>
          <w:docGrid w:linePitch="360"/>
        </w:sectPr>
      </w:pPr>
    </w:p>
    <w:p w14:paraId="6045354B" w14:textId="2DC90183" w:rsidR="00895D86" w:rsidRPr="000D1D9D" w:rsidRDefault="000D1D9D" w:rsidP="00895D86">
      <w:pPr>
        <w:rPr>
          <w:lang w:val="fo-FO"/>
        </w:rPr>
      </w:pPr>
      <w:r w:rsidRPr="000D1D9D">
        <w:rPr>
          <w:rFonts w:cs="Times New Roman"/>
          <w:szCs w:val="24"/>
          <w:lang w:val="fo-FO"/>
        </w:rPr>
        <w:t>Við heimild í § 13, stk. 6, nr. 3 og 4 í løgtingslóg nr. 19 frá 8. mai 2008 um marknaðarføring</w:t>
      </w:r>
      <w:r>
        <w:rPr>
          <w:rFonts w:cs="Times New Roman"/>
          <w:szCs w:val="24"/>
          <w:lang w:val="fo-FO"/>
        </w:rPr>
        <w:t>, sum broytt við løgtingslóg nr. 50 frá 17. mai 2011, løgtingslóg nr. 46 frá 15. mai 2014, løgtingslóg nr. 47 frá 12. mai 2015, løgtingslóg nr. 91 frá 7. juni 2020 og løgtingslóg nr. 57 frá 2. mai 2022,</w:t>
      </w:r>
      <w:r w:rsidRPr="000D1D9D">
        <w:rPr>
          <w:rFonts w:cs="Times New Roman"/>
          <w:szCs w:val="24"/>
          <w:lang w:val="fo-FO"/>
        </w:rPr>
        <w:t xml:space="preserve"> verður ásett: </w:t>
      </w:r>
    </w:p>
    <w:p w14:paraId="5A1A79A7" w14:textId="77777777" w:rsidR="00895D86" w:rsidRPr="000D1D9D" w:rsidRDefault="00895D86" w:rsidP="00895D86">
      <w:pPr>
        <w:rPr>
          <w:lang w:val="fo-FO"/>
        </w:rPr>
      </w:pPr>
    </w:p>
    <w:p w14:paraId="17E03736" w14:textId="77777777" w:rsidR="000D1D9D" w:rsidRPr="000D1D9D" w:rsidRDefault="000D1D9D" w:rsidP="000D1D9D">
      <w:pPr>
        <w:jc w:val="center"/>
        <w:rPr>
          <w:rFonts w:cs="Times New Roman"/>
          <w:i/>
          <w:iCs/>
          <w:szCs w:val="24"/>
          <w:lang w:val="fo-FO"/>
        </w:rPr>
      </w:pPr>
      <w:r w:rsidRPr="000D1D9D">
        <w:rPr>
          <w:rFonts w:cs="Times New Roman"/>
          <w:i/>
          <w:iCs/>
          <w:szCs w:val="24"/>
          <w:lang w:val="fo-FO"/>
        </w:rPr>
        <w:t>Virkisøki</w:t>
      </w:r>
    </w:p>
    <w:p w14:paraId="0FB2C32D" w14:textId="77777777" w:rsidR="000D1D9D" w:rsidRPr="000D1D9D" w:rsidRDefault="000D1D9D" w:rsidP="000D1D9D">
      <w:pPr>
        <w:rPr>
          <w:rFonts w:cs="Times New Roman"/>
          <w:szCs w:val="24"/>
          <w:lang w:val="fo-FO"/>
        </w:rPr>
      </w:pPr>
      <w:r w:rsidRPr="000D1D9D">
        <w:rPr>
          <w:rFonts w:cs="Times New Roman"/>
          <w:b/>
          <w:bCs/>
          <w:szCs w:val="24"/>
          <w:lang w:val="fo-FO"/>
        </w:rPr>
        <w:t>§ 1</w:t>
      </w:r>
      <w:r w:rsidRPr="000D1D9D">
        <w:rPr>
          <w:rFonts w:cs="Times New Roman"/>
          <w:szCs w:val="24"/>
          <w:lang w:val="fo-FO"/>
        </w:rPr>
        <w:t xml:space="preserve">. Kunngerðin er galdandi fyri vørur, sum seljarar, sbr. § 2, stk. 1, nr. 4, selja keyparum, sbr. § 2, stk. 1, nr. 5. </w:t>
      </w:r>
    </w:p>
    <w:p w14:paraId="57F63D6F" w14:textId="77777777" w:rsidR="000D1D9D" w:rsidRPr="000D1D9D" w:rsidRDefault="000D1D9D" w:rsidP="000D1D9D">
      <w:pPr>
        <w:rPr>
          <w:rFonts w:cs="Times New Roman"/>
          <w:szCs w:val="24"/>
          <w:lang w:val="fo-FO"/>
        </w:rPr>
      </w:pPr>
      <w:r w:rsidRPr="000D1D9D">
        <w:rPr>
          <w:rFonts w:cs="Times New Roman"/>
          <w:i/>
          <w:iCs/>
          <w:szCs w:val="24"/>
          <w:lang w:val="fo-FO"/>
        </w:rPr>
        <w:t>Stk. 2</w:t>
      </w:r>
      <w:r w:rsidRPr="000D1D9D">
        <w:rPr>
          <w:rFonts w:cs="Times New Roman"/>
          <w:szCs w:val="24"/>
          <w:lang w:val="fo-FO"/>
        </w:rPr>
        <w:t xml:space="preserve">. Kunngerðin er ikki galdandi fyri fornlutir og </w:t>
      </w:r>
      <w:proofErr w:type="spellStart"/>
      <w:r w:rsidRPr="000D1D9D">
        <w:rPr>
          <w:rFonts w:cs="Times New Roman"/>
          <w:szCs w:val="24"/>
          <w:lang w:val="fo-FO"/>
        </w:rPr>
        <w:t>listgripir</w:t>
      </w:r>
      <w:proofErr w:type="spellEnd"/>
      <w:r w:rsidRPr="000D1D9D">
        <w:rPr>
          <w:rFonts w:cs="Times New Roman"/>
          <w:szCs w:val="24"/>
          <w:lang w:val="fo-FO"/>
        </w:rPr>
        <w:t xml:space="preserve"> ella vørur, sum verða seldar á uppboði ella latnar í sambandi við tænastuveiting.</w:t>
      </w:r>
    </w:p>
    <w:p w14:paraId="1C9FABFC" w14:textId="77777777" w:rsidR="000D1D9D" w:rsidRPr="000D1D9D" w:rsidRDefault="000D1D9D" w:rsidP="000D1D9D">
      <w:pPr>
        <w:rPr>
          <w:rFonts w:cs="Times New Roman"/>
          <w:szCs w:val="24"/>
          <w:lang w:val="fo-FO"/>
        </w:rPr>
      </w:pPr>
    </w:p>
    <w:p w14:paraId="3495A229" w14:textId="77777777" w:rsidR="000D1D9D" w:rsidRPr="000D1D9D" w:rsidRDefault="000D1D9D" w:rsidP="000D1D9D">
      <w:pPr>
        <w:jc w:val="center"/>
        <w:rPr>
          <w:rFonts w:cs="Times New Roman"/>
          <w:i/>
          <w:iCs/>
          <w:szCs w:val="24"/>
          <w:lang w:val="fo-FO"/>
        </w:rPr>
      </w:pPr>
      <w:r w:rsidRPr="000D1D9D">
        <w:rPr>
          <w:rFonts w:cs="Times New Roman"/>
          <w:i/>
          <w:iCs/>
          <w:szCs w:val="24"/>
          <w:lang w:val="fo-FO"/>
        </w:rPr>
        <w:t>Allýsingar</w:t>
      </w:r>
    </w:p>
    <w:p w14:paraId="6B7AE0E6" w14:textId="77777777" w:rsidR="000D1D9D" w:rsidRPr="000D1D9D" w:rsidRDefault="000D1D9D" w:rsidP="000D1D9D">
      <w:pPr>
        <w:rPr>
          <w:rFonts w:cs="Times New Roman"/>
          <w:szCs w:val="24"/>
          <w:lang w:val="fo-FO"/>
        </w:rPr>
      </w:pPr>
      <w:r w:rsidRPr="000D1D9D">
        <w:rPr>
          <w:rFonts w:cs="Times New Roman"/>
          <w:b/>
          <w:bCs/>
          <w:szCs w:val="24"/>
          <w:lang w:val="fo-FO"/>
        </w:rPr>
        <w:t>§ 2</w:t>
      </w:r>
      <w:r w:rsidRPr="000D1D9D">
        <w:rPr>
          <w:rFonts w:cs="Times New Roman"/>
          <w:szCs w:val="24"/>
          <w:lang w:val="fo-FO"/>
        </w:rPr>
        <w:t xml:space="preserve">. Í hesi kunngerðir merkir: </w:t>
      </w:r>
    </w:p>
    <w:p w14:paraId="6412C7DF" w14:textId="77777777" w:rsidR="000D1D9D" w:rsidRPr="000D1D9D" w:rsidRDefault="000D1D9D" w:rsidP="000D1D9D">
      <w:pPr>
        <w:rPr>
          <w:rFonts w:cs="Times New Roman"/>
          <w:szCs w:val="24"/>
          <w:lang w:val="fo-FO"/>
        </w:rPr>
      </w:pPr>
      <w:r w:rsidRPr="000D1D9D">
        <w:rPr>
          <w:rFonts w:cs="Times New Roman"/>
          <w:szCs w:val="24"/>
          <w:lang w:val="fo-FO"/>
        </w:rPr>
        <w:t xml:space="preserve">1) Søluprísur: Endaligi prísurin fyri eina vøru ella eina ávísa vørunøgd, íroknað meirvirðisgjald og øll onnur avgjøld, men uttan møguligt pant. </w:t>
      </w:r>
    </w:p>
    <w:p w14:paraId="3F8A9AA4" w14:textId="77777777" w:rsidR="000D1D9D" w:rsidRPr="000D1D9D" w:rsidRDefault="000D1D9D" w:rsidP="000D1D9D">
      <w:pPr>
        <w:rPr>
          <w:rFonts w:cs="Times New Roman"/>
          <w:szCs w:val="24"/>
          <w:lang w:val="fo-FO"/>
        </w:rPr>
      </w:pPr>
      <w:r w:rsidRPr="000D1D9D">
        <w:rPr>
          <w:rFonts w:cs="Times New Roman"/>
          <w:szCs w:val="24"/>
          <w:lang w:val="fo-FO"/>
        </w:rPr>
        <w:t xml:space="preserve">2) Eindarprísur: Endaligi prísurin, íroknað meirvirðisgjald og øll onnur avgjøld, í hesum mátingareindum: eitt kilo, ein metur, ein fermetur ella ein rúmmetur fyri eina vøru ella vørueind, sbr. tó § 7. </w:t>
      </w:r>
    </w:p>
    <w:p w14:paraId="435B5D3F" w14:textId="77777777" w:rsidR="000D1D9D" w:rsidRPr="000D1D9D" w:rsidRDefault="000D1D9D" w:rsidP="000D1D9D">
      <w:pPr>
        <w:rPr>
          <w:rFonts w:cs="Times New Roman"/>
          <w:szCs w:val="24"/>
          <w:lang w:val="fo-FO"/>
        </w:rPr>
      </w:pPr>
      <w:r w:rsidRPr="000D1D9D">
        <w:rPr>
          <w:rFonts w:cs="Times New Roman"/>
          <w:szCs w:val="24"/>
          <w:lang w:val="fo-FO"/>
        </w:rPr>
        <w:t xml:space="preserve">3) Vørur í leysari vekt: Vørur, sum ikki eru pakkaðar, og sum verða máldar, meðan keyparin er hjá. </w:t>
      </w:r>
    </w:p>
    <w:p w14:paraId="2315014C" w14:textId="7711A4B2" w:rsidR="000D1D9D" w:rsidRPr="000D1D9D" w:rsidRDefault="000D1D9D" w:rsidP="000D1D9D">
      <w:pPr>
        <w:rPr>
          <w:rFonts w:cs="Times New Roman"/>
          <w:szCs w:val="24"/>
          <w:lang w:val="fo-FO"/>
        </w:rPr>
      </w:pPr>
      <w:r w:rsidRPr="000D1D9D">
        <w:rPr>
          <w:rFonts w:cs="Times New Roman"/>
          <w:szCs w:val="24"/>
          <w:lang w:val="fo-FO"/>
        </w:rPr>
        <w:t>4) Seljari: Likamligur ella løgfrøðiligur persónur, sum rekur handilsvirksemi, tænastuvirksemi ella handverk í frælsari vinnu, og ein og hvør, ið virkar í navninum hjá einum seljara ella vegna ein seljara.</w:t>
      </w:r>
    </w:p>
    <w:p w14:paraId="77DF780E" w14:textId="77777777" w:rsidR="000D1D9D" w:rsidRPr="000D1D9D" w:rsidRDefault="000D1D9D" w:rsidP="000D1D9D">
      <w:pPr>
        <w:rPr>
          <w:rFonts w:cs="Times New Roman"/>
          <w:szCs w:val="24"/>
          <w:lang w:val="fo-FO"/>
        </w:rPr>
      </w:pPr>
      <w:r w:rsidRPr="000D1D9D">
        <w:rPr>
          <w:rFonts w:cs="Times New Roman"/>
          <w:szCs w:val="24"/>
          <w:lang w:val="fo-FO"/>
        </w:rPr>
        <w:t xml:space="preserve">5) Keypari: Likamligur ella løgfrøðiligur persónur, sum í høvuðsheitum sum privatpersónur keypir vørur ella tænastur frá einum seljara. </w:t>
      </w:r>
    </w:p>
    <w:p w14:paraId="530D9ACF" w14:textId="77777777" w:rsidR="000D1D9D" w:rsidRPr="000D1D9D" w:rsidRDefault="000D1D9D" w:rsidP="000D1D9D">
      <w:pPr>
        <w:rPr>
          <w:rFonts w:cs="Times New Roman"/>
          <w:szCs w:val="24"/>
          <w:lang w:val="fo-FO"/>
        </w:rPr>
      </w:pPr>
      <w:r w:rsidRPr="000D1D9D">
        <w:rPr>
          <w:rFonts w:cs="Times New Roman"/>
          <w:szCs w:val="24"/>
          <w:lang w:val="fo-FO"/>
        </w:rPr>
        <w:t xml:space="preserve">6) Stuttar, tíðaravmarkaðar príslækkingar: Vørur og vørunøgdir, sum, í einum tíðarskeiði upp á í mesta lagi tvær vikur, verða seldar fyri ein prís, sum er lægri enn tann, sum vøran annars verður seld fyri. Prísurin kann verða lækkaður við ávísum prosenti ella ávísari krónuupphædd. </w:t>
      </w:r>
    </w:p>
    <w:p w14:paraId="4BF8DC6D" w14:textId="77777777" w:rsidR="000D1D9D" w:rsidRPr="000D1D9D" w:rsidRDefault="000D1D9D" w:rsidP="000D1D9D">
      <w:pPr>
        <w:rPr>
          <w:rFonts w:cs="Times New Roman"/>
          <w:szCs w:val="24"/>
          <w:lang w:val="fo-FO"/>
        </w:rPr>
      </w:pPr>
      <w:r w:rsidRPr="000D1D9D">
        <w:rPr>
          <w:rFonts w:cs="Times New Roman"/>
          <w:szCs w:val="24"/>
          <w:lang w:val="fo-FO"/>
        </w:rPr>
        <w:t>7) Motorakfar: Nýggir og brúktir persónbilar, vøruvognar upp í 2.000 kg til samans, motorsúkklur, skutarar og prutl.</w:t>
      </w:r>
    </w:p>
    <w:p w14:paraId="252D2AA6" w14:textId="77777777" w:rsidR="000D1D9D" w:rsidRPr="000D1D9D" w:rsidRDefault="000D1D9D" w:rsidP="000D1D9D">
      <w:pPr>
        <w:rPr>
          <w:rFonts w:cs="Times New Roman"/>
          <w:szCs w:val="24"/>
          <w:lang w:val="fo-FO"/>
        </w:rPr>
      </w:pPr>
    </w:p>
    <w:p w14:paraId="50C9EF1B" w14:textId="77777777" w:rsidR="000D1D9D" w:rsidRPr="000D1D9D" w:rsidRDefault="000D1D9D" w:rsidP="000D1D9D">
      <w:pPr>
        <w:jc w:val="center"/>
        <w:rPr>
          <w:rFonts w:cs="Times New Roman"/>
          <w:i/>
          <w:iCs/>
          <w:szCs w:val="24"/>
          <w:lang w:val="fo-FO"/>
        </w:rPr>
      </w:pPr>
      <w:r w:rsidRPr="000D1D9D">
        <w:rPr>
          <w:rFonts w:cs="Times New Roman"/>
          <w:i/>
          <w:iCs/>
          <w:szCs w:val="24"/>
          <w:lang w:val="fo-FO"/>
        </w:rPr>
        <w:t>Upplýsingar um prís á sølustaðnum</w:t>
      </w:r>
    </w:p>
    <w:p w14:paraId="6DE6BF9D" w14:textId="77777777" w:rsidR="000D1D9D" w:rsidRPr="000D1D9D" w:rsidRDefault="000D1D9D" w:rsidP="000D1D9D">
      <w:pPr>
        <w:rPr>
          <w:rFonts w:cs="Times New Roman"/>
          <w:szCs w:val="24"/>
          <w:lang w:val="fo-FO"/>
        </w:rPr>
      </w:pPr>
      <w:r w:rsidRPr="000D1D9D">
        <w:rPr>
          <w:rFonts w:cs="Times New Roman"/>
          <w:b/>
          <w:bCs/>
          <w:szCs w:val="24"/>
          <w:lang w:val="fo-FO"/>
        </w:rPr>
        <w:t>§ 3</w:t>
      </w:r>
      <w:r w:rsidRPr="000D1D9D">
        <w:rPr>
          <w:rFonts w:cs="Times New Roman"/>
          <w:szCs w:val="24"/>
          <w:lang w:val="fo-FO"/>
        </w:rPr>
        <w:t xml:space="preserve">. Í handilshølum, framsýningarhølum og har vørur annars verða sýndar fram, t.d. á eini heimasíðu, skal seljarin upplýsa bæði søluprísin og, har tað er viðkomandi, eindarprísin fyri vøruna ella vørunøgdina, sbr. stk. 2-3. Prísurin skal vera týðiligur og lættur at lesa. </w:t>
      </w:r>
    </w:p>
    <w:p w14:paraId="4851DDF3" w14:textId="77777777" w:rsidR="000D1D9D" w:rsidRPr="000D1D9D" w:rsidRDefault="000D1D9D" w:rsidP="000D1D9D">
      <w:pPr>
        <w:rPr>
          <w:rFonts w:cs="Times New Roman"/>
          <w:szCs w:val="24"/>
          <w:lang w:val="fo-FO"/>
        </w:rPr>
      </w:pPr>
      <w:r w:rsidRPr="000D1D9D">
        <w:rPr>
          <w:rFonts w:cs="Times New Roman"/>
          <w:i/>
          <w:iCs/>
          <w:szCs w:val="24"/>
          <w:lang w:val="fo-FO"/>
        </w:rPr>
        <w:t>Stk. 2</w:t>
      </w:r>
      <w:r w:rsidRPr="000D1D9D">
        <w:rPr>
          <w:rFonts w:cs="Times New Roman"/>
          <w:szCs w:val="24"/>
          <w:lang w:val="fo-FO"/>
        </w:rPr>
        <w:t xml:space="preserve">. Vørur, seldar í leysari vekt, skulu merkjast við eindarprísi. Eru søluprísur og eindarprísur tann sami, skal vøran merkjast við søluprísi.     </w:t>
      </w:r>
    </w:p>
    <w:p w14:paraId="07BC8D1F" w14:textId="77777777" w:rsidR="000D1D9D" w:rsidRPr="000D1D9D" w:rsidRDefault="000D1D9D" w:rsidP="000D1D9D">
      <w:pPr>
        <w:rPr>
          <w:rFonts w:cs="Times New Roman"/>
          <w:szCs w:val="24"/>
          <w:lang w:val="fo-FO"/>
        </w:rPr>
      </w:pPr>
      <w:r w:rsidRPr="000D1D9D">
        <w:rPr>
          <w:rFonts w:cs="Times New Roman"/>
          <w:i/>
          <w:iCs/>
          <w:szCs w:val="24"/>
          <w:lang w:val="fo-FO"/>
        </w:rPr>
        <w:t>Stk. 3</w:t>
      </w:r>
      <w:r w:rsidRPr="000D1D9D">
        <w:rPr>
          <w:rFonts w:cs="Times New Roman"/>
          <w:szCs w:val="24"/>
          <w:lang w:val="fo-FO"/>
        </w:rPr>
        <w:t>. Tað skal týðiliga upplýsast, um pant er lagt á eina vøru.</w:t>
      </w:r>
    </w:p>
    <w:p w14:paraId="677E8991" w14:textId="77777777" w:rsidR="000D1D9D" w:rsidRPr="000D1D9D" w:rsidRDefault="000D1D9D" w:rsidP="000D1D9D">
      <w:pPr>
        <w:rPr>
          <w:rFonts w:cs="Times New Roman"/>
          <w:szCs w:val="24"/>
          <w:lang w:val="fo-FO"/>
        </w:rPr>
      </w:pPr>
    </w:p>
    <w:p w14:paraId="7C707F6D" w14:textId="77777777" w:rsidR="000D1D9D" w:rsidRPr="000D1D9D" w:rsidRDefault="000D1D9D" w:rsidP="000D1D9D">
      <w:pPr>
        <w:jc w:val="center"/>
        <w:rPr>
          <w:rFonts w:cs="Times New Roman"/>
          <w:i/>
          <w:iCs/>
          <w:szCs w:val="24"/>
          <w:lang w:val="fo-FO"/>
        </w:rPr>
      </w:pPr>
      <w:r w:rsidRPr="000D1D9D">
        <w:rPr>
          <w:rFonts w:cs="Times New Roman"/>
          <w:i/>
          <w:iCs/>
          <w:szCs w:val="24"/>
          <w:lang w:val="fo-FO"/>
        </w:rPr>
        <w:t>Tubbaksvørur, dagbløð og vikubløð</w:t>
      </w:r>
    </w:p>
    <w:p w14:paraId="02D56D31" w14:textId="77777777" w:rsidR="000D1D9D" w:rsidRPr="000D1D9D" w:rsidRDefault="000D1D9D" w:rsidP="000D1D9D">
      <w:pPr>
        <w:rPr>
          <w:rFonts w:cs="Times New Roman"/>
          <w:szCs w:val="24"/>
          <w:lang w:val="fo-FO"/>
        </w:rPr>
      </w:pPr>
      <w:r w:rsidRPr="000D1D9D">
        <w:rPr>
          <w:rFonts w:cs="Times New Roman"/>
          <w:b/>
          <w:bCs/>
          <w:szCs w:val="24"/>
          <w:lang w:val="fo-FO"/>
        </w:rPr>
        <w:t>§ 4</w:t>
      </w:r>
      <w:r w:rsidRPr="000D1D9D">
        <w:rPr>
          <w:rFonts w:cs="Times New Roman"/>
          <w:szCs w:val="24"/>
          <w:lang w:val="fo-FO"/>
        </w:rPr>
        <w:t>. Fyri tubbaksvørur, dagbløð og vikubløð er skyldan at upplýsa um prís lokin, um prísurin er prentaður á vøruna.</w:t>
      </w:r>
    </w:p>
    <w:p w14:paraId="50CA9630" w14:textId="77777777" w:rsidR="000D1D9D" w:rsidRPr="000D1D9D" w:rsidRDefault="000D1D9D" w:rsidP="000D1D9D">
      <w:pPr>
        <w:rPr>
          <w:rFonts w:cs="Times New Roman"/>
          <w:szCs w:val="24"/>
          <w:lang w:val="fo-FO"/>
        </w:rPr>
      </w:pPr>
    </w:p>
    <w:p w14:paraId="06F0A1C9" w14:textId="77777777" w:rsidR="000D1D9D" w:rsidRPr="000D1D9D" w:rsidRDefault="000D1D9D" w:rsidP="000D1D9D">
      <w:pPr>
        <w:jc w:val="center"/>
        <w:rPr>
          <w:rFonts w:cs="Times New Roman"/>
          <w:i/>
          <w:iCs/>
          <w:szCs w:val="24"/>
          <w:lang w:val="fo-FO"/>
        </w:rPr>
      </w:pPr>
      <w:r w:rsidRPr="000D1D9D">
        <w:rPr>
          <w:rFonts w:cs="Times New Roman"/>
          <w:i/>
          <w:iCs/>
          <w:szCs w:val="24"/>
          <w:lang w:val="fo-FO"/>
        </w:rPr>
        <w:t>Um at rokna eindarprísin</w:t>
      </w:r>
    </w:p>
    <w:p w14:paraId="587B472D" w14:textId="77777777" w:rsidR="000D1D9D" w:rsidRPr="000D1D9D" w:rsidRDefault="000D1D9D" w:rsidP="000D1D9D">
      <w:pPr>
        <w:rPr>
          <w:rFonts w:cs="Times New Roman"/>
          <w:szCs w:val="24"/>
          <w:lang w:val="fo-FO"/>
        </w:rPr>
      </w:pPr>
      <w:r w:rsidRPr="000D1D9D">
        <w:rPr>
          <w:rFonts w:cs="Times New Roman"/>
          <w:b/>
          <w:bCs/>
          <w:szCs w:val="24"/>
          <w:lang w:val="fo-FO"/>
        </w:rPr>
        <w:t>§ 5</w:t>
      </w:r>
      <w:r w:rsidRPr="000D1D9D">
        <w:rPr>
          <w:rFonts w:cs="Times New Roman"/>
          <w:szCs w:val="24"/>
          <w:lang w:val="fo-FO"/>
        </w:rPr>
        <w:t>. Eindarprísurin verður roknaður eftir nettoinnihaldinum í pakkanum.</w:t>
      </w:r>
    </w:p>
    <w:p w14:paraId="0C667B2B" w14:textId="77777777" w:rsidR="000D1D9D" w:rsidRPr="000D1D9D" w:rsidRDefault="000D1D9D" w:rsidP="000D1D9D">
      <w:pPr>
        <w:rPr>
          <w:rFonts w:cs="Times New Roman"/>
          <w:szCs w:val="24"/>
          <w:lang w:val="fo-FO"/>
        </w:rPr>
      </w:pPr>
      <w:r w:rsidRPr="000D1D9D">
        <w:rPr>
          <w:rFonts w:cs="Times New Roman"/>
          <w:i/>
          <w:iCs/>
          <w:szCs w:val="24"/>
          <w:lang w:val="fo-FO"/>
        </w:rPr>
        <w:t>Stk. 2</w:t>
      </w:r>
      <w:r w:rsidRPr="000D1D9D">
        <w:rPr>
          <w:rFonts w:cs="Times New Roman"/>
          <w:szCs w:val="24"/>
          <w:lang w:val="fo-FO"/>
        </w:rPr>
        <w:t>. Fyri matvørur, sum eru pakkaðar í ís, vatn, kryddlaka o.tíl., sum vanliga ikki verður etið, verður eindarprísurin roknaður eftir turru vektini, t.e. drenaðu vektini.</w:t>
      </w:r>
    </w:p>
    <w:p w14:paraId="528FD0B9" w14:textId="77777777" w:rsidR="000D1D9D" w:rsidRPr="000D1D9D" w:rsidRDefault="000D1D9D" w:rsidP="000D1D9D">
      <w:pPr>
        <w:rPr>
          <w:rFonts w:cs="Times New Roman"/>
          <w:szCs w:val="24"/>
          <w:lang w:val="fo-FO"/>
        </w:rPr>
      </w:pPr>
      <w:r w:rsidRPr="000D1D9D">
        <w:rPr>
          <w:rFonts w:cs="Times New Roman"/>
          <w:i/>
          <w:iCs/>
          <w:szCs w:val="24"/>
          <w:lang w:val="fo-FO"/>
        </w:rPr>
        <w:t>Stk. 3</w:t>
      </w:r>
      <w:r w:rsidRPr="000D1D9D">
        <w:rPr>
          <w:rFonts w:cs="Times New Roman"/>
          <w:szCs w:val="24"/>
          <w:lang w:val="fo-FO"/>
        </w:rPr>
        <w:t>. Skal vatn latast í eina matvøru, áðrenn hon kann etast, skal eindarprísurin roknast eftir vektini, tá vøran er blandað eftir tilmæli framleiðarans.</w:t>
      </w:r>
    </w:p>
    <w:p w14:paraId="72473A92" w14:textId="77777777" w:rsidR="000D1D9D" w:rsidRPr="000D1D9D" w:rsidRDefault="000D1D9D" w:rsidP="000D1D9D">
      <w:pPr>
        <w:rPr>
          <w:rFonts w:cs="Times New Roman"/>
          <w:szCs w:val="24"/>
          <w:lang w:val="fo-FO"/>
        </w:rPr>
      </w:pPr>
    </w:p>
    <w:p w14:paraId="319EEC6D" w14:textId="77777777" w:rsidR="000D1D9D" w:rsidRPr="000D1D9D" w:rsidRDefault="000D1D9D" w:rsidP="000D1D9D">
      <w:pPr>
        <w:jc w:val="center"/>
        <w:rPr>
          <w:rFonts w:cs="Times New Roman"/>
          <w:i/>
          <w:iCs/>
          <w:szCs w:val="24"/>
          <w:lang w:val="fo-FO"/>
        </w:rPr>
      </w:pPr>
      <w:r w:rsidRPr="000D1D9D">
        <w:rPr>
          <w:rFonts w:cs="Times New Roman"/>
          <w:i/>
          <w:iCs/>
          <w:szCs w:val="24"/>
          <w:lang w:val="fo-FO"/>
        </w:rPr>
        <w:t>Eindarprísurin fyri serligar vørubólkar</w:t>
      </w:r>
    </w:p>
    <w:p w14:paraId="38E0CEF7" w14:textId="77777777" w:rsidR="000D1D9D" w:rsidRPr="000D1D9D" w:rsidRDefault="000D1D9D" w:rsidP="000D1D9D">
      <w:pPr>
        <w:rPr>
          <w:rFonts w:cs="Times New Roman"/>
          <w:szCs w:val="24"/>
          <w:lang w:val="fo-FO"/>
        </w:rPr>
      </w:pPr>
      <w:r w:rsidRPr="000D1D9D">
        <w:rPr>
          <w:rFonts w:cs="Times New Roman"/>
          <w:b/>
          <w:bCs/>
          <w:szCs w:val="24"/>
          <w:lang w:val="fo-FO"/>
        </w:rPr>
        <w:t>§ 6</w:t>
      </w:r>
      <w:r w:rsidRPr="000D1D9D">
        <w:rPr>
          <w:rFonts w:cs="Times New Roman"/>
          <w:szCs w:val="24"/>
          <w:lang w:val="fo-FO"/>
        </w:rPr>
        <w:t xml:space="preserve">. Fyri køksrullur og vesipappír skal upplýsast eindarprísur fyri eitt kilo. </w:t>
      </w:r>
    </w:p>
    <w:p w14:paraId="2370AA81" w14:textId="77777777" w:rsidR="000D1D9D" w:rsidRPr="000D1D9D" w:rsidRDefault="000D1D9D" w:rsidP="000D1D9D">
      <w:pPr>
        <w:rPr>
          <w:rFonts w:cs="Times New Roman"/>
          <w:szCs w:val="24"/>
          <w:lang w:val="fo-FO"/>
        </w:rPr>
      </w:pPr>
      <w:r w:rsidRPr="000D1D9D">
        <w:rPr>
          <w:rFonts w:cs="Times New Roman"/>
          <w:i/>
          <w:iCs/>
          <w:szCs w:val="24"/>
          <w:lang w:val="fo-FO"/>
        </w:rPr>
        <w:t>Stk. 2</w:t>
      </w:r>
      <w:r w:rsidRPr="000D1D9D">
        <w:rPr>
          <w:rFonts w:cs="Times New Roman"/>
          <w:szCs w:val="24"/>
          <w:lang w:val="fo-FO"/>
        </w:rPr>
        <w:t>. Fyri aðrar vørur í rullum, m.a. bakipappír, matpappír, pakkingarpappír, silvurpappír, matfilm og klisturband, skal eindarprísurin upplýsast fyri ein metur.</w:t>
      </w:r>
    </w:p>
    <w:p w14:paraId="3449E95C" w14:textId="77777777" w:rsidR="000D1D9D" w:rsidRPr="000D1D9D" w:rsidRDefault="000D1D9D" w:rsidP="000D1D9D">
      <w:pPr>
        <w:rPr>
          <w:rFonts w:cs="Times New Roman"/>
          <w:szCs w:val="24"/>
          <w:lang w:val="fo-FO"/>
        </w:rPr>
      </w:pPr>
      <w:r w:rsidRPr="000D1D9D">
        <w:rPr>
          <w:rFonts w:cs="Times New Roman"/>
          <w:i/>
          <w:iCs/>
          <w:szCs w:val="24"/>
          <w:lang w:val="fo-FO"/>
        </w:rPr>
        <w:t>Stk. 3</w:t>
      </w:r>
      <w:r w:rsidRPr="000D1D9D">
        <w:rPr>
          <w:rFonts w:cs="Times New Roman"/>
          <w:szCs w:val="24"/>
          <w:lang w:val="fo-FO"/>
        </w:rPr>
        <w:t>. Fyri vørur at klæða gólv, loft og veggir, m.a. vevnaður, klæði, vinyl, linoleum, tapet, flísar, tundurplátur, gipsplátur o.tíl., skal eindarprísurin upplýsast fyri hvønn klæddan fermetur.</w:t>
      </w:r>
    </w:p>
    <w:p w14:paraId="128A47BD" w14:textId="7AE83BC5" w:rsidR="000D1D9D" w:rsidRPr="000D1D9D" w:rsidRDefault="000D1D9D" w:rsidP="000D1D9D">
      <w:pPr>
        <w:rPr>
          <w:rFonts w:cs="Times New Roman"/>
          <w:szCs w:val="24"/>
          <w:lang w:val="fo-FO"/>
        </w:rPr>
      </w:pPr>
      <w:r w:rsidRPr="000D1D9D">
        <w:rPr>
          <w:rFonts w:cs="Times New Roman"/>
          <w:i/>
          <w:iCs/>
          <w:szCs w:val="24"/>
          <w:lang w:val="fo-FO"/>
        </w:rPr>
        <w:t>Stk. 4</w:t>
      </w:r>
      <w:r w:rsidRPr="000D1D9D">
        <w:rPr>
          <w:rFonts w:cs="Times New Roman"/>
          <w:szCs w:val="24"/>
          <w:lang w:val="fo-FO"/>
        </w:rPr>
        <w:t>. Fyri sápu til klædnavask við maskinu skal eindarprísurin upplýsast fyri hvørja fulla vaskimaskinu sbrt. upplýsingum framleiðarans á pakkanum.</w:t>
      </w:r>
    </w:p>
    <w:p w14:paraId="5DEEE4EA" w14:textId="77777777" w:rsidR="000D1D9D" w:rsidRPr="000D1D9D" w:rsidRDefault="000D1D9D" w:rsidP="000D1D9D">
      <w:pPr>
        <w:rPr>
          <w:rFonts w:cs="Times New Roman"/>
          <w:szCs w:val="24"/>
          <w:lang w:val="fo-FO"/>
        </w:rPr>
      </w:pPr>
    </w:p>
    <w:p w14:paraId="30D0DB3F" w14:textId="77777777" w:rsidR="000D1D9D" w:rsidRPr="000D1D9D" w:rsidRDefault="000D1D9D" w:rsidP="000D1D9D">
      <w:pPr>
        <w:rPr>
          <w:rFonts w:cs="Times New Roman"/>
          <w:szCs w:val="24"/>
          <w:lang w:val="fo-FO"/>
        </w:rPr>
      </w:pPr>
      <w:r w:rsidRPr="000D1D9D">
        <w:rPr>
          <w:rFonts w:cs="Times New Roman"/>
          <w:b/>
          <w:bCs/>
          <w:szCs w:val="24"/>
          <w:lang w:val="fo-FO"/>
        </w:rPr>
        <w:t>§ 7.</w:t>
      </w:r>
      <w:r w:rsidRPr="000D1D9D">
        <w:rPr>
          <w:rFonts w:cs="Times New Roman"/>
          <w:szCs w:val="24"/>
          <w:lang w:val="fo-FO"/>
        </w:rPr>
        <w:t xml:space="preserve"> Fyri hesar vørubólkar skal eindarprísurin ásetast fyri hvørt stykki: </w:t>
      </w:r>
    </w:p>
    <w:p w14:paraId="5777CB7D" w14:textId="77777777" w:rsidR="000D1D9D" w:rsidRPr="000D1D9D" w:rsidRDefault="000D1D9D" w:rsidP="000D1D9D">
      <w:pPr>
        <w:rPr>
          <w:rFonts w:cs="Times New Roman"/>
          <w:szCs w:val="24"/>
          <w:lang w:val="fo-FO"/>
        </w:rPr>
      </w:pPr>
      <w:r w:rsidRPr="000D1D9D">
        <w:rPr>
          <w:rFonts w:cs="Times New Roman"/>
          <w:szCs w:val="24"/>
          <w:lang w:val="fo-FO"/>
        </w:rPr>
        <w:t xml:space="preserve">1) Fesk egg, sum eru pakkað, og har </w:t>
      </w:r>
      <w:proofErr w:type="spellStart"/>
      <w:r w:rsidRPr="000D1D9D">
        <w:rPr>
          <w:rFonts w:cs="Times New Roman"/>
          <w:szCs w:val="24"/>
          <w:lang w:val="fo-FO"/>
        </w:rPr>
        <w:t>vektbólkurin</w:t>
      </w:r>
      <w:proofErr w:type="spellEnd"/>
      <w:r w:rsidRPr="000D1D9D">
        <w:rPr>
          <w:rFonts w:cs="Times New Roman"/>
          <w:szCs w:val="24"/>
          <w:lang w:val="fo-FO"/>
        </w:rPr>
        <w:t xml:space="preserve"> er ásettur frammanundan. </w:t>
      </w:r>
    </w:p>
    <w:p w14:paraId="29C65ED1" w14:textId="77777777" w:rsidR="000D1D9D" w:rsidRPr="000D1D9D" w:rsidRDefault="000D1D9D" w:rsidP="000D1D9D">
      <w:pPr>
        <w:rPr>
          <w:rFonts w:cs="Times New Roman"/>
          <w:szCs w:val="24"/>
          <w:lang w:val="fo-FO"/>
        </w:rPr>
      </w:pPr>
      <w:r w:rsidRPr="000D1D9D">
        <w:rPr>
          <w:rFonts w:cs="Times New Roman"/>
          <w:szCs w:val="24"/>
          <w:lang w:val="fo-FO"/>
        </w:rPr>
        <w:t xml:space="preserve">2) Ostrur og onnur skeldýr av </w:t>
      </w:r>
      <w:proofErr w:type="spellStart"/>
      <w:r w:rsidRPr="000D1D9D">
        <w:rPr>
          <w:rFonts w:cs="Times New Roman"/>
          <w:szCs w:val="24"/>
          <w:lang w:val="fo-FO"/>
        </w:rPr>
        <w:t>lindýraætt</w:t>
      </w:r>
      <w:proofErr w:type="spellEnd"/>
      <w:r w:rsidRPr="000D1D9D">
        <w:rPr>
          <w:rFonts w:cs="Times New Roman"/>
          <w:szCs w:val="24"/>
          <w:lang w:val="fo-FO"/>
        </w:rPr>
        <w:t xml:space="preserve">. </w:t>
      </w:r>
    </w:p>
    <w:p w14:paraId="3A303AB0" w14:textId="77777777" w:rsidR="000D1D9D" w:rsidRPr="000D1D9D" w:rsidRDefault="000D1D9D" w:rsidP="000D1D9D">
      <w:pPr>
        <w:rPr>
          <w:rFonts w:cs="Times New Roman"/>
          <w:szCs w:val="24"/>
          <w:lang w:val="fo-FO"/>
        </w:rPr>
      </w:pPr>
      <w:r w:rsidRPr="000D1D9D">
        <w:rPr>
          <w:rFonts w:cs="Times New Roman"/>
          <w:szCs w:val="24"/>
          <w:lang w:val="fo-FO"/>
        </w:rPr>
        <w:t xml:space="preserve">3) Heilivág í handkeypi og kostískoyti, íroknað vitaminir, fyri hvørja tablett ella hvørt hylki. </w:t>
      </w:r>
    </w:p>
    <w:p w14:paraId="674845B5" w14:textId="77777777" w:rsidR="000D1D9D" w:rsidRPr="000D1D9D" w:rsidRDefault="000D1D9D" w:rsidP="000D1D9D">
      <w:pPr>
        <w:rPr>
          <w:rFonts w:cs="Times New Roman"/>
          <w:szCs w:val="24"/>
          <w:lang w:val="fo-FO"/>
        </w:rPr>
      </w:pPr>
      <w:r w:rsidRPr="000D1D9D">
        <w:rPr>
          <w:rFonts w:cs="Times New Roman"/>
          <w:szCs w:val="24"/>
          <w:lang w:val="fo-FO"/>
        </w:rPr>
        <w:t xml:space="preserve">4) Serviettar, </w:t>
      </w:r>
      <w:proofErr w:type="spellStart"/>
      <w:r w:rsidRPr="000D1D9D">
        <w:rPr>
          <w:rFonts w:cs="Times New Roman"/>
          <w:szCs w:val="24"/>
          <w:lang w:val="fo-FO"/>
        </w:rPr>
        <w:t>pappírslummaklútar</w:t>
      </w:r>
      <w:proofErr w:type="spellEnd"/>
      <w:r w:rsidRPr="000D1D9D">
        <w:rPr>
          <w:rFonts w:cs="Times New Roman"/>
          <w:szCs w:val="24"/>
          <w:lang w:val="fo-FO"/>
        </w:rPr>
        <w:t xml:space="preserve">, reinsiserviettar og einnýtisborðbúnaður. </w:t>
      </w:r>
    </w:p>
    <w:p w14:paraId="5AA70D70" w14:textId="77777777" w:rsidR="000D1D9D" w:rsidRPr="000D1D9D" w:rsidRDefault="000D1D9D" w:rsidP="000D1D9D">
      <w:pPr>
        <w:rPr>
          <w:rFonts w:cs="Times New Roman"/>
          <w:szCs w:val="24"/>
          <w:lang w:val="fo-FO"/>
        </w:rPr>
      </w:pPr>
      <w:r w:rsidRPr="000D1D9D">
        <w:rPr>
          <w:rFonts w:cs="Times New Roman"/>
          <w:szCs w:val="24"/>
          <w:lang w:val="fo-FO"/>
        </w:rPr>
        <w:t xml:space="preserve">5) Plastposar til goymslu og burturkast. </w:t>
      </w:r>
    </w:p>
    <w:p w14:paraId="55BB75FA" w14:textId="77777777" w:rsidR="000D1D9D" w:rsidRPr="000D1D9D" w:rsidRDefault="000D1D9D" w:rsidP="000D1D9D">
      <w:pPr>
        <w:rPr>
          <w:rFonts w:cs="Times New Roman"/>
          <w:szCs w:val="24"/>
          <w:lang w:val="fo-FO"/>
        </w:rPr>
      </w:pPr>
      <w:r w:rsidRPr="000D1D9D">
        <w:rPr>
          <w:rFonts w:cs="Times New Roman"/>
          <w:szCs w:val="24"/>
          <w:lang w:val="fo-FO"/>
        </w:rPr>
        <w:t xml:space="preserve">6) Blæur, bind, </w:t>
      </w:r>
      <w:proofErr w:type="spellStart"/>
      <w:r w:rsidRPr="000D1D9D">
        <w:rPr>
          <w:rFonts w:cs="Times New Roman"/>
          <w:szCs w:val="24"/>
          <w:lang w:val="fo-FO"/>
        </w:rPr>
        <w:t>trussuílegg</w:t>
      </w:r>
      <w:proofErr w:type="spellEnd"/>
      <w:r w:rsidRPr="000D1D9D">
        <w:rPr>
          <w:rFonts w:cs="Times New Roman"/>
          <w:szCs w:val="24"/>
          <w:lang w:val="fo-FO"/>
        </w:rPr>
        <w:t xml:space="preserve"> og </w:t>
      </w:r>
      <w:proofErr w:type="spellStart"/>
      <w:r w:rsidRPr="000D1D9D">
        <w:rPr>
          <w:rFonts w:cs="Times New Roman"/>
          <w:szCs w:val="24"/>
          <w:lang w:val="fo-FO"/>
        </w:rPr>
        <w:t>tampongir</w:t>
      </w:r>
      <w:proofErr w:type="spellEnd"/>
      <w:r w:rsidRPr="000D1D9D">
        <w:rPr>
          <w:rFonts w:cs="Times New Roman"/>
          <w:szCs w:val="24"/>
          <w:lang w:val="fo-FO"/>
        </w:rPr>
        <w:t>.</w:t>
      </w:r>
    </w:p>
    <w:p w14:paraId="13A9CE11" w14:textId="77777777" w:rsidR="000D1D9D" w:rsidRPr="000D1D9D" w:rsidRDefault="000D1D9D" w:rsidP="000D1D9D">
      <w:pPr>
        <w:rPr>
          <w:rFonts w:cs="Times New Roman"/>
          <w:szCs w:val="24"/>
          <w:lang w:val="fo-FO"/>
        </w:rPr>
      </w:pPr>
    </w:p>
    <w:p w14:paraId="74531845" w14:textId="77777777" w:rsidR="000D1D9D" w:rsidRPr="000D1D9D" w:rsidRDefault="000D1D9D" w:rsidP="000D1D9D">
      <w:pPr>
        <w:jc w:val="center"/>
        <w:rPr>
          <w:rFonts w:cs="Times New Roman"/>
          <w:i/>
          <w:iCs/>
          <w:szCs w:val="24"/>
          <w:lang w:val="fo-FO"/>
        </w:rPr>
      </w:pPr>
      <w:r w:rsidRPr="000D1D9D">
        <w:rPr>
          <w:rFonts w:cs="Times New Roman"/>
          <w:i/>
          <w:iCs/>
          <w:szCs w:val="24"/>
          <w:lang w:val="fo-FO"/>
        </w:rPr>
        <w:t>Undantøk frá kravinum um at upplýsa eindarprís</w:t>
      </w:r>
    </w:p>
    <w:p w14:paraId="32D714D1" w14:textId="77777777" w:rsidR="000D1D9D" w:rsidRPr="000D1D9D" w:rsidRDefault="000D1D9D" w:rsidP="000D1D9D">
      <w:pPr>
        <w:rPr>
          <w:rFonts w:cs="Times New Roman"/>
          <w:szCs w:val="24"/>
          <w:lang w:val="fo-FO"/>
        </w:rPr>
      </w:pPr>
      <w:r w:rsidRPr="000D1D9D">
        <w:rPr>
          <w:rFonts w:cs="Times New Roman"/>
          <w:b/>
          <w:bCs/>
          <w:szCs w:val="24"/>
          <w:lang w:val="fo-FO"/>
        </w:rPr>
        <w:t xml:space="preserve">§ 8. </w:t>
      </w:r>
      <w:r w:rsidRPr="000D1D9D">
        <w:rPr>
          <w:rFonts w:cs="Times New Roman"/>
          <w:szCs w:val="24"/>
          <w:lang w:val="fo-FO"/>
        </w:rPr>
        <w:t>Kravið um at upplýsa eindarprís er ikki galdandi fyri hesar vørur:</w:t>
      </w:r>
    </w:p>
    <w:p w14:paraId="0046523F" w14:textId="3A49DF31" w:rsidR="000D1D9D" w:rsidRPr="000D1D9D" w:rsidRDefault="000D1D9D" w:rsidP="000D1D9D">
      <w:pPr>
        <w:rPr>
          <w:rFonts w:cs="Times New Roman"/>
          <w:szCs w:val="24"/>
          <w:lang w:val="fo-FO"/>
        </w:rPr>
      </w:pPr>
      <w:r w:rsidRPr="000D1D9D">
        <w:rPr>
          <w:rFonts w:cs="Times New Roman"/>
          <w:szCs w:val="24"/>
          <w:lang w:val="fo-FO"/>
        </w:rPr>
        <w:t>1) Vørur, sum ikki kunnu býtast sundur eftir máti ella vekt</w:t>
      </w:r>
      <w:r w:rsidR="00DC04DD">
        <w:rPr>
          <w:rFonts w:cs="Times New Roman"/>
          <w:szCs w:val="24"/>
          <w:lang w:val="fo-FO"/>
        </w:rPr>
        <w:t>,</w:t>
      </w:r>
      <w:r w:rsidRPr="000D1D9D">
        <w:rPr>
          <w:rFonts w:cs="Times New Roman"/>
          <w:szCs w:val="24"/>
          <w:lang w:val="fo-FO"/>
        </w:rPr>
        <w:t xml:space="preserve"> uttan so at </w:t>
      </w:r>
      <w:proofErr w:type="spellStart"/>
      <w:r w:rsidRPr="000D1D9D">
        <w:rPr>
          <w:rFonts w:cs="Times New Roman"/>
          <w:szCs w:val="24"/>
          <w:lang w:val="fo-FO"/>
        </w:rPr>
        <w:t>vørueyðkennið</w:t>
      </w:r>
      <w:proofErr w:type="spellEnd"/>
      <w:r w:rsidRPr="000D1D9D">
        <w:rPr>
          <w:rFonts w:cs="Times New Roman"/>
          <w:szCs w:val="24"/>
          <w:lang w:val="fo-FO"/>
        </w:rPr>
        <w:t xml:space="preserve"> broytist, og har upplýsing um nettoinnihald ikki verður kravd.</w:t>
      </w:r>
    </w:p>
    <w:p w14:paraId="24CDF6D5" w14:textId="77777777" w:rsidR="000D1D9D" w:rsidRPr="000D1D9D" w:rsidRDefault="000D1D9D" w:rsidP="000D1D9D">
      <w:pPr>
        <w:rPr>
          <w:rFonts w:cs="Times New Roman"/>
          <w:szCs w:val="24"/>
          <w:lang w:val="fo-FO"/>
        </w:rPr>
      </w:pPr>
      <w:r w:rsidRPr="000D1D9D">
        <w:rPr>
          <w:rFonts w:cs="Times New Roman"/>
          <w:szCs w:val="24"/>
          <w:lang w:val="fo-FO"/>
        </w:rPr>
        <w:t xml:space="preserve">2) Vørur, sum eru pakkaðar í sama pakka, og annars vørur av ymsum slag, har ávís nøgd ella ávíst tal av vøruni verður selt fyri fastan prís. Hetta er kortini ikki galdandi, um vørurnar í sama handli eisini verða seldar hvør sær. </w:t>
      </w:r>
    </w:p>
    <w:p w14:paraId="0C8308D9" w14:textId="77777777" w:rsidR="000D1D9D" w:rsidRPr="000D1D9D" w:rsidRDefault="000D1D9D" w:rsidP="000D1D9D">
      <w:pPr>
        <w:rPr>
          <w:rFonts w:cs="Times New Roman"/>
          <w:szCs w:val="24"/>
          <w:lang w:val="fo-FO"/>
        </w:rPr>
      </w:pPr>
      <w:r w:rsidRPr="000D1D9D">
        <w:rPr>
          <w:rFonts w:cs="Times New Roman"/>
          <w:szCs w:val="24"/>
          <w:lang w:val="fo-FO"/>
        </w:rPr>
        <w:t xml:space="preserve">3) Vørur, sum verða seldar liðugt pakkaðar, og har </w:t>
      </w:r>
      <w:proofErr w:type="spellStart"/>
      <w:r w:rsidRPr="000D1D9D">
        <w:rPr>
          <w:rFonts w:cs="Times New Roman"/>
          <w:szCs w:val="24"/>
          <w:lang w:val="fo-FO"/>
        </w:rPr>
        <w:t>nettoinnihaldið</w:t>
      </w:r>
      <w:proofErr w:type="spellEnd"/>
      <w:r w:rsidRPr="000D1D9D">
        <w:rPr>
          <w:rFonts w:cs="Times New Roman"/>
          <w:szCs w:val="24"/>
          <w:lang w:val="fo-FO"/>
        </w:rPr>
        <w:t xml:space="preserve"> í pakkanum er minni enn 50 g ella 50 ml. </w:t>
      </w:r>
    </w:p>
    <w:p w14:paraId="19F728ED" w14:textId="77777777" w:rsidR="000D1D9D" w:rsidRPr="000D1D9D" w:rsidRDefault="000D1D9D" w:rsidP="000D1D9D">
      <w:pPr>
        <w:rPr>
          <w:rFonts w:cs="Times New Roman"/>
          <w:szCs w:val="24"/>
          <w:lang w:val="fo-FO"/>
        </w:rPr>
      </w:pPr>
      <w:r w:rsidRPr="000D1D9D">
        <w:rPr>
          <w:rFonts w:cs="Times New Roman"/>
          <w:i/>
          <w:iCs/>
          <w:szCs w:val="24"/>
          <w:lang w:val="fo-FO"/>
        </w:rPr>
        <w:t>Stk. 2</w:t>
      </w:r>
      <w:r w:rsidRPr="000D1D9D">
        <w:rPr>
          <w:rFonts w:cs="Times New Roman"/>
          <w:szCs w:val="24"/>
          <w:lang w:val="fo-FO"/>
        </w:rPr>
        <w:t xml:space="preserve">. Stk. 1, nr. 1-3, er ikki galdandi fyri matvørur. </w:t>
      </w:r>
    </w:p>
    <w:p w14:paraId="39E9D980" w14:textId="77777777" w:rsidR="000D1D9D" w:rsidRPr="000D1D9D" w:rsidRDefault="000D1D9D" w:rsidP="000D1D9D">
      <w:pPr>
        <w:rPr>
          <w:rFonts w:cs="Times New Roman"/>
          <w:szCs w:val="24"/>
          <w:lang w:val="fo-FO"/>
        </w:rPr>
      </w:pPr>
      <w:r w:rsidRPr="000D1D9D">
        <w:rPr>
          <w:rFonts w:cs="Times New Roman"/>
          <w:i/>
          <w:iCs/>
          <w:szCs w:val="24"/>
          <w:lang w:val="fo-FO"/>
        </w:rPr>
        <w:t>Stk. 3.</w:t>
      </w:r>
      <w:r w:rsidRPr="000D1D9D">
        <w:rPr>
          <w:rFonts w:cs="Times New Roman"/>
          <w:szCs w:val="24"/>
          <w:lang w:val="fo-FO"/>
        </w:rPr>
        <w:t xml:space="preserve"> Kravið um at upplýsa eindarprís er ikki galdandi fyri hesar matvørur:</w:t>
      </w:r>
    </w:p>
    <w:p w14:paraId="5B49CF53" w14:textId="77777777" w:rsidR="000D1D9D" w:rsidRPr="000D1D9D" w:rsidRDefault="000D1D9D" w:rsidP="000D1D9D">
      <w:pPr>
        <w:rPr>
          <w:rFonts w:cs="Times New Roman"/>
          <w:szCs w:val="24"/>
          <w:lang w:val="fo-FO"/>
        </w:rPr>
      </w:pPr>
      <w:r w:rsidRPr="000D1D9D">
        <w:rPr>
          <w:rFonts w:cs="Times New Roman"/>
          <w:szCs w:val="24"/>
          <w:lang w:val="fo-FO"/>
        </w:rPr>
        <w:t xml:space="preserve">1) Lidnir rættir. </w:t>
      </w:r>
    </w:p>
    <w:p w14:paraId="39A39C76" w14:textId="77777777" w:rsidR="000D1D9D" w:rsidRPr="000D1D9D" w:rsidRDefault="000D1D9D" w:rsidP="000D1D9D">
      <w:pPr>
        <w:rPr>
          <w:rFonts w:cs="Times New Roman"/>
          <w:szCs w:val="24"/>
          <w:lang w:val="fo-FO"/>
        </w:rPr>
      </w:pPr>
      <w:r w:rsidRPr="000D1D9D">
        <w:rPr>
          <w:rFonts w:cs="Times New Roman"/>
          <w:szCs w:val="24"/>
          <w:lang w:val="fo-FO"/>
        </w:rPr>
        <w:t>2) Rættir, sum skulu gerast til, og har alt tilfarið verður selt saman.</w:t>
      </w:r>
    </w:p>
    <w:p w14:paraId="54B637A1" w14:textId="77777777" w:rsidR="000D1D9D" w:rsidRPr="000D1D9D" w:rsidRDefault="000D1D9D" w:rsidP="000D1D9D">
      <w:pPr>
        <w:rPr>
          <w:rFonts w:cs="Times New Roman"/>
          <w:szCs w:val="24"/>
          <w:lang w:val="fo-FO"/>
        </w:rPr>
      </w:pPr>
      <w:r w:rsidRPr="000D1D9D">
        <w:rPr>
          <w:rFonts w:cs="Times New Roman"/>
          <w:szCs w:val="24"/>
          <w:lang w:val="fo-FO"/>
        </w:rPr>
        <w:t>3) Ymsar vørur, sum eru pakkaðar í sama pakka, og annars vørur av ymsum slag, har ávís nøgd ella ávíst tal av vøruni verður selt fyri fastan prís.</w:t>
      </w:r>
    </w:p>
    <w:p w14:paraId="6D80F061" w14:textId="73A41AF0" w:rsidR="000D1D9D" w:rsidRPr="000D1D9D" w:rsidRDefault="000D1D9D" w:rsidP="000D1D9D">
      <w:pPr>
        <w:rPr>
          <w:rFonts w:cs="Times New Roman"/>
          <w:szCs w:val="24"/>
          <w:lang w:val="fo-FO"/>
        </w:rPr>
      </w:pPr>
      <w:r w:rsidRPr="000D1D9D">
        <w:rPr>
          <w:rFonts w:cs="Times New Roman"/>
          <w:szCs w:val="24"/>
          <w:lang w:val="fo-FO"/>
        </w:rPr>
        <w:t>4) Bollar, køkur og kondittaravørur, sum ikki verð</w:t>
      </w:r>
      <w:r w:rsidR="00DC04DD">
        <w:rPr>
          <w:rFonts w:cs="Times New Roman"/>
          <w:szCs w:val="24"/>
          <w:lang w:val="fo-FO"/>
        </w:rPr>
        <w:t>a</w:t>
      </w:r>
      <w:r w:rsidRPr="000D1D9D">
        <w:rPr>
          <w:rFonts w:cs="Times New Roman"/>
          <w:szCs w:val="24"/>
          <w:lang w:val="fo-FO"/>
        </w:rPr>
        <w:t xml:space="preserve"> sel</w:t>
      </w:r>
      <w:r w:rsidR="00DC04DD">
        <w:rPr>
          <w:rFonts w:cs="Times New Roman"/>
          <w:szCs w:val="24"/>
          <w:lang w:val="fo-FO"/>
        </w:rPr>
        <w:t>d</w:t>
      </w:r>
      <w:r w:rsidRPr="000D1D9D">
        <w:rPr>
          <w:rFonts w:cs="Times New Roman"/>
          <w:szCs w:val="24"/>
          <w:lang w:val="fo-FO"/>
        </w:rPr>
        <w:t xml:space="preserve"> </w:t>
      </w:r>
      <w:proofErr w:type="spellStart"/>
      <w:r w:rsidRPr="000D1D9D">
        <w:rPr>
          <w:rFonts w:cs="Times New Roman"/>
          <w:szCs w:val="24"/>
          <w:lang w:val="fo-FO"/>
        </w:rPr>
        <w:t>liðugpakkað</w:t>
      </w:r>
      <w:proofErr w:type="spellEnd"/>
      <w:r w:rsidRPr="000D1D9D">
        <w:rPr>
          <w:rFonts w:cs="Times New Roman"/>
          <w:szCs w:val="24"/>
          <w:lang w:val="fo-FO"/>
        </w:rPr>
        <w:t xml:space="preserve">. </w:t>
      </w:r>
    </w:p>
    <w:p w14:paraId="0692B1BA" w14:textId="77777777" w:rsidR="000D1D9D" w:rsidRPr="000D1D9D" w:rsidRDefault="000D1D9D" w:rsidP="000D1D9D">
      <w:pPr>
        <w:rPr>
          <w:rFonts w:cs="Times New Roman"/>
          <w:szCs w:val="24"/>
          <w:lang w:val="fo-FO"/>
        </w:rPr>
      </w:pPr>
      <w:r w:rsidRPr="000D1D9D">
        <w:rPr>
          <w:rFonts w:cs="Times New Roman"/>
          <w:szCs w:val="24"/>
          <w:lang w:val="fo-FO"/>
        </w:rPr>
        <w:t xml:space="preserve">5) Frukt og grønmeti, sum verður selt hvør sær, í bundum ella í pottum. </w:t>
      </w:r>
    </w:p>
    <w:p w14:paraId="44B8E30B" w14:textId="77777777" w:rsidR="000D1D9D" w:rsidRPr="000D1D9D" w:rsidRDefault="000D1D9D" w:rsidP="000D1D9D">
      <w:pPr>
        <w:rPr>
          <w:rFonts w:cs="Times New Roman"/>
          <w:szCs w:val="24"/>
          <w:lang w:val="fo-FO"/>
        </w:rPr>
      </w:pPr>
      <w:r w:rsidRPr="000D1D9D">
        <w:rPr>
          <w:rFonts w:cs="Times New Roman"/>
          <w:szCs w:val="24"/>
          <w:lang w:val="fo-FO"/>
        </w:rPr>
        <w:t xml:space="preserve">6) Vørur, har annað enn vatn skal latast í, áðrenn tær verða brúktar. </w:t>
      </w:r>
    </w:p>
    <w:p w14:paraId="03EAF8DD" w14:textId="77777777" w:rsidR="000D1D9D" w:rsidRPr="000D1D9D" w:rsidRDefault="000D1D9D" w:rsidP="000D1D9D">
      <w:pPr>
        <w:rPr>
          <w:rFonts w:cs="Times New Roman"/>
          <w:szCs w:val="24"/>
          <w:lang w:val="fo-FO"/>
        </w:rPr>
      </w:pPr>
    </w:p>
    <w:p w14:paraId="6859DDEC" w14:textId="77777777" w:rsidR="000D1D9D" w:rsidRPr="000D1D9D" w:rsidRDefault="000D1D9D" w:rsidP="000D1D9D">
      <w:pPr>
        <w:jc w:val="center"/>
        <w:rPr>
          <w:rFonts w:cs="Times New Roman"/>
          <w:i/>
          <w:iCs/>
          <w:szCs w:val="24"/>
          <w:lang w:val="fo-FO"/>
        </w:rPr>
      </w:pPr>
      <w:r w:rsidRPr="000D1D9D">
        <w:rPr>
          <w:rFonts w:cs="Times New Roman"/>
          <w:i/>
          <w:iCs/>
          <w:szCs w:val="24"/>
          <w:lang w:val="fo-FO"/>
        </w:rPr>
        <w:t>Lýsingar o.a.</w:t>
      </w:r>
    </w:p>
    <w:p w14:paraId="5AA383F2" w14:textId="79AA6C75" w:rsidR="000D1D9D" w:rsidRPr="000D1D9D" w:rsidRDefault="000D1D9D" w:rsidP="000D1D9D">
      <w:pPr>
        <w:rPr>
          <w:rFonts w:cs="Times New Roman"/>
          <w:szCs w:val="24"/>
          <w:lang w:val="fo-FO"/>
        </w:rPr>
      </w:pPr>
      <w:r w:rsidRPr="000D1D9D">
        <w:rPr>
          <w:rFonts w:cs="Times New Roman"/>
          <w:b/>
          <w:bCs/>
          <w:szCs w:val="24"/>
          <w:lang w:val="fo-FO"/>
        </w:rPr>
        <w:t>§ 9</w:t>
      </w:r>
      <w:r w:rsidRPr="000D1D9D">
        <w:rPr>
          <w:rFonts w:cs="Times New Roman"/>
          <w:szCs w:val="24"/>
          <w:lang w:val="fo-FO"/>
        </w:rPr>
        <w:t xml:space="preserve">. Prísir, sum verða upplýstir </w:t>
      </w:r>
      <w:r w:rsidR="00DC04DD">
        <w:rPr>
          <w:rFonts w:cs="Times New Roman"/>
          <w:szCs w:val="24"/>
          <w:lang w:val="fo-FO"/>
        </w:rPr>
        <w:t>í</w:t>
      </w:r>
      <w:r w:rsidRPr="000D1D9D">
        <w:rPr>
          <w:rFonts w:cs="Times New Roman"/>
          <w:szCs w:val="24"/>
          <w:lang w:val="fo-FO"/>
        </w:rPr>
        <w:t xml:space="preserve"> lýsingum ella við aðrari marknaðarføring, skulu vera í samsvari við ásetingarnar í § 3, §§ 5-8, § 10, 2. pkt. og §§ 12-13. </w:t>
      </w:r>
    </w:p>
    <w:p w14:paraId="4E09B341" w14:textId="77777777" w:rsidR="000D1D9D" w:rsidRPr="000D1D9D" w:rsidRDefault="000D1D9D" w:rsidP="000D1D9D">
      <w:pPr>
        <w:rPr>
          <w:rFonts w:cs="Times New Roman"/>
          <w:szCs w:val="24"/>
          <w:lang w:val="fo-FO"/>
        </w:rPr>
      </w:pPr>
    </w:p>
    <w:p w14:paraId="652EA45F" w14:textId="04B6C421" w:rsidR="000D1D9D" w:rsidRDefault="000D1D9D" w:rsidP="000D1D9D">
      <w:pPr>
        <w:jc w:val="center"/>
        <w:rPr>
          <w:rFonts w:cs="Times New Roman"/>
          <w:i/>
          <w:iCs/>
          <w:szCs w:val="24"/>
          <w:lang w:val="fo-FO"/>
        </w:rPr>
      </w:pPr>
      <w:r w:rsidRPr="000D1D9D">
        <w:rPr>
          <w:rFonts w:cs="Times New Roman"/>
          <w:i/>
          <w:iCs/>
          <w:szCs w:val="24"/>
          <w:lang w:val="fo-FO"/>
        </w:rPr>
        <w:t>Stuttar og tíðaravmarkaðar príslækkingar</w:t>
      </w:r>
    </w:p>
    <w:p w14:paraId="728EE321" w14:textId="77777777" w:rsidR="00DC04DD" w:rsidRPr="000D1D9D" w:rsidRDefault="00DC04DD" w:rsidP="000D1D9D">
      <w:pPr>
        <w:jc w:val="center"/>
        <w:rPr>
          <w:rFonts w:cs="Times New Roman"/>
          <w:i/>
          <w:iCs/>
          <w:szCs w:val="24"/>
          <w:lang w:val="fo-FO"/>
        </w:rPr>
      </w:pPr>
    </w:p>
    <w:p w14:paraId="4964AF98" w14:textId="77777777" w:rsidR="000D1D9D" w:rsidRPr="000D1D9D" w:rsidRDefault="000D1D9D" w:rsidP="000D1D9D">
      <w:pPr>
        <w:jc w:val="center"/>
        <w:rPr>
          <w:rFonts w:cs="Times New Roman"/>
          <w:i/>
          <w:iCs/>
          <w:szCs w:val="24"/>
          <w:lang w:val="fo-FO"/>
        </w:rPr>
      </w:pPr>
      <w:r w:rsidRPr="000D1D9D">
        <w:rPr>
          <w:rFonts w:cs="Times New Roman"/>
          <w:i/>
          <w:iCs/>
          <w:szCs w:val="24"/>
          <w:lang w:val="fo-FO"/>
        </w:rPr>
        <w:t>Matvørur við stuttum haldføri</w:t>
      </w:r>
    </w:p>
    <w:p w14:paraId="36B14751" w14:textId="77777777" w:rsidR="000D1D9D" w:rsidRPr="000D1D9D" w:rsidRDefault="000D1D9D" w:rsidP="000D1D9D">
      <w:pPr>
        <w:rPr>
          <w:rFonts w:cs="Times New Roman"/>
          <w:szCs w:val="24"/>
          <w:lang w:val="fo-FO"/>
        </w:rPr>
      </w:pPr>
      <w:r w:rsidRPr="000D1D9D">
        <w:rPr>
          <w:rFonts w:cs="Times New Roman"/>
          <w:b/>
          <w:bCs/>
          <w:szCs w:val="24"/>
          <w:lang w:val="fo-FO"/>
        </w:rPr>
        <w:t>§ 10</w:t>
      </w:r>
      <w:r w:rsidRPr="000D1D9D">
        <w:rPr>
          <w:rFonts w:cs="Times New Roman"/>
          <w:szCs w:val="24"/>
          <w:lang w:val="fo-FO"/>
        </w:rPr>
        <w:t xml:space="preserve">. Fyri matvørur við stuttum haldføri, undir hesum feskur fiskur og kjøt, frukt og grønmeti, breyð og mjólkarúrdráttir, sum verða seldar við avsláttri, tí vøran er um at nærkast seinasta søludegi, verður ikki kravt, at eindarprísurin skal dagførast. Vøran skal kortini merkjast við upprunaligum søluprísi og møguligum eindarprísi, umframt avsláttri í krónum ella prosentum. </w:t>
      </w:r>
    </w:p>
    <w:p w14:paraId="4A09B3E2" w14:textId="77777777" w:rsidR="000D1D9D" w:rsidRPr="000D1D9D" w:rsidRDefault="000D1D9D" w:rsidP="000D1D9D">
      <w:pPr>
        <w:rPr>
          <w:rFonts w:cs="Times New Roman"/>
          <w:szCs w:val="24"/>
          <w:lang w:val="fo-FO"/>
        </w:rPr>
      </w:pPr>
    </w:p>
    <w:p w14:paraId="7146CD8D" w14:textId="77777777" w:rsidR="000D1D9D" w:rsidRPr="000D1D9D" w:rsidRDefault="000D1D9D" w:rsidP="000D1D9D">
      <w:pPr>
        <w:jc w:val="center"/>
        <w:rPr>
          <w:rFonts w:cs="Times New Roman"/>
          <w:i/>
          <w:iCs/>
          <w:szCs w:val="24"/>
          <w:lang w:val="fo-FO"/>
        </w:rPr>
      </w:pPr>
      <w:r w:rsidRPr="000D1D9D">
        <w:rPr>
          <w:rFonts w:cs="Times New Roman"/>
          <w:i/>
          <w:iCs/>
          <w:szCs w:val="24"/>
          <w:lang w:val="fo-FO"/>
        </w:rPr>
        <w:t>Stuttar almennar príslækkingar</w:t>
      </w:r>
    </w:p>
    <w:p w14:paraId="44487C01" w14:textId="77777777" w:rsidR="000D1D9D" w:rsidRPr="000D1D9D" w:rsidRDefault="000D1D9D" w:rsidP="000D1D9D">
      <w:pPr>
        <w:rPr>
          <w:rFonts w:cs="Times New Roman"/>
          <w:szCs w:val="24"/>
          <w:lang w:val="fo-FO"/>
        </w:rPr>
      </w:pPr>
      <w:r w:rsidRPr="000D1D9D">
        <w:rPr>
          <w:rFonts w:cs="Times New Roman"/>
          <w:b/>
          <w:bCs/>
          <w:szCs w:val="24"/>
          <w:lang w:val="fo-FO"/>
        </w:rPr>
        <w:t>§ 11</w:t>
      </w:r>
      <w:r w:rsidRPr="000D1D9D">
        <w:rPr>
          <w:rFonts w:cs="Times New Roman"/>
          <w:szCs w:val="24"/>
          <w:lang w:val="fo-FO"/>
        </w:rPr>
        <w:t xml:space="preserve">. Skyldan at upplýsa lækkingar í galdandi søluprísum fyri nógvar vørubólkar og </w:t>
      </w:r>
      <w:proofErr w:type="spellStart"/>
      <w:r w:rsidRPr="000D1D9D">
        <w:rPr>
          <w:rFonts w:cs="Times New Roman"/>
          <w:szCs w:val="24"/>
          <w:lang w:val="fo-FO"/>
        </w:rPr>
        <w:t>vørueindir</w:t>
      </w:r>
      <w:proofErr w:type="spellEnd"/>
      <w:r w:rsidRPr="000D1D9D">
        <w:rPr>
          <w:rFonts w:cs="Times New Roman"/>
          <w:szCs w:val="24"/>
          <w:lang w:val="fo-FO"/>
        </w:rPr>
        <w:t>, sbrt. § 13, stk. 1, í løgtingslóg um marknaðarføring, verður mett at vera lokin, tá ið seljarin týðiliga upplýsir príslækkingina í krónum og oyrum ella prosentum fyri hvørja vørueind.</w:t>
      </w:r>
    </w:p>
    <w:p w14:paraId="2BCA0DDA" w14:textId="77777777" w:rsidR="000D1D9D" w:rsidRPr="000D1D9D" w:rsidRDefault="000D1D9D" w:rsidP="000D1D9D">
      <w:pPr>
        <w:rPr>
          <w:rFonts w:cs="Times New Roman"/>
          <w:szCs w:val="24"/>
          <w:lang w:val="fo-FO"/>
        </w:rPr>
      </w:pPr>
      <w:r w:rsidRPr="000D1D9D">
        <w:rPr>
          <w:rFonts w:cs="Times New Roman"/>
          <w:i/>
          <w:iCs/>
          <w:szCs w:val="24"/>
          <w:lang w:val="fo-FO"/>
        </w:rPr>
        <w:t>Stk. 2</w:t>
      </w:r>
      <w:r w:rsidRPr="000D1D9D">
        <w:rPr>
          <w:rFonts w:cs="Times New Roman"/>
          <w:szCs w:val="24"/>
          <w:lang w:val="fo-FO"/>
        </w:rPr>
        <w:t xml:space="preserve">. Um </w:t>
      </w:r>
      <w:proofErr w:type="spellStart"/>
      <w:r w:rsidRPr="000D1D9D">
        <w:rPr>
          <w:rFonts w:cs="Times New Roman"/>
          <w:szCs w:val="24"/>
          <w:lang w:val="fo-FO"/>
        </w:rPr>
        <w:t>príslækkingarnar</w:t>
      </w:r>
      <w:proofErr w:type="spellEnd"/>
      <w:r w:rsidRPr="000D1D9D">
        <w:rPr>
          <w:rFonts w:cs="Times New Roman"/>
          <w:szCs w:val="24"/>
          <w:lang w:val="fo-FO"/>
        </w:rPr>
        <w:t xml:space="preserve"> ikki fevna um alt vøruúrvalið, ið er til keyps, skal niðursetta vøruúrvalið týðiliga avmarkast. </w:t>
      </w:r>
    </w:p>
    <w:p w14:paraId="018235B9" w14:textId="77777777" w:rsidR="000D1D9D" w:rsidRPr="000D1D9D" w:rsidRDefault="000D1D9D" w:rsidP="000D1D9D">
      <w:pPr>
        <w:rPr>
          <w:rFonts w:cs="Times New Roman"/>
          <w:szCs w:val="24"/>
          <w:lang w:val="fo-FO"/>
        </w:rPr>
      </w:pPr>
      <w:r w:rsidRPr="000D1D9D">
        <w:rPr>
          <w:rFonts w:cs="Times New Roman"/>
          <w:i/>
          <w:iCs/>
          <w:szCs w:val="24"/>
          <w:lang w:val="fo-FO"/>
        </w:rPr>
        <w:t>Stk. 3</w:t>
      </w:r>
      <w:r w:rsidRPr="000D1D9D">
        <w:rPr>
          <w:rFonts w:cs="Times New Roman"/>
          <w:szCs w:val="24"/>
          <w:lang w:val="fo-FO"/>
        </w:rPr>
        <w:t xml:space="preserve">. Søluprísirnir, sum vóru galdandi beint fyri príslækkingina, skulu vera greitt upplýstir. </w:t>
      </w:r>
    </w:p>
    <w:p w14:paraId="7B539F4B" w14:textId="77777777" w:rsidR="000D1D9D" w:rsidRPr="000D1D9D" w:rsidRDefault="000D1D9D" w:rsidP="000D1D9D">
      <w:pPr>
        <w:rPr>
          <w:rFonts w:cs="Times New Roman"/>
          <w:szCs w:val="24"/>
          <w:lang w:val="fo-FO"/>
        </w:rPr>
      </w:pPr>
    </w:p>
    <w:p w14:paraId="5212FD14" w14:textId="1A0FCDB3" w:rsidR="000D1D9D" w:rsidRPr="000D1D9D" w:rsidRDefault="000D1D9D" w:rsidP="000D1D9D">
      <w:pPr>
        <w:rPr>
          <w:rFonts w:cs="Times New Roman"/>
          <w:szCs w:val="24"/>
          <w:lang w:val="fo-FO"/>
        </w:rPr>
      </w:pPr>
      <w:r w:rsidRPr="000D1D9D">
        <w:rPr>
          <w:rFonts w:cs="Times New Roman"/>
          <w:b/>
          <w:bCs/>
          <w:szCs w:val="24"/>
          <w:lang w:val="fo-FO"/>
        </w:rPr>
        <w:t>§ 12</w:t>
      </w:r>
      <w:r w:rsidRPr="000D1D9D">
        <w:rPr>
          <w:rFonts w:cs="Times New Roman"/>
          <w:szCs w:val="24"/>
          <w:lang w:val="fo-FO"/>
        </w:rPr>
        <w:t xml:space="preserve">. Brúkaraumboðið kann í einstøkum førum fyri neyvt ásettar vørubólkar leingja tað í § 2, stk. 1, nr. 6 nevnda tíðarskeið. </w:t>
      </w:r>
    </w:p>
    <w:p w14:paraId="3D83BECF" w14:textId="77777777" w:rsidR="000D1D9D" w:rsidRPr="000D1D9D" w:rsidRDefault="000D1D9D" w:rsidP="000D1D9D">
      <w:pPr>
        <w:rPr>
          <w:rFonts w:cs="Times New Roman"/>
          <w:szCs w:val="24"/>
          <w:lang w:val="fo-FO"/>
        </w:rPr>
      </w:pPr>
    </w:p>
    <w:p w14:paraId="023BDD2D" w14:textId="77777777" w:rsidR="000D1D9D" w:rsidRPr="000D1D9D" w:rsidRDefault="000D1D9D" w:rsidP="000D1D9D">
      <w:pPr>
        <w:jc w:val="center"/>
        <w:rPr>
          <w:rFonts w:cs="Times New Roman"/>
          <w:i/>
          <w:iCs/>
          <w:szCs w:val="24"/>
          <w:lang w:val="fo-FO"/>
        </w:rPr>
      </w:pPr>
      <w:r w:rsidRPr="000D1D9D">
        <w:rPr>
          <w:rFonts w:cs="Times New Roman"/>
          <w:i/>
          <w:iCs/>
          <w:szCs w:val="24"/>
          <w:lang w:val="fo-FO"/>
        </w:rPr>
        <w:t>Prísir á motorakførum o.a.</w:t>
      </w:r>
    </w:p>
    <w:p w14:paraId="4DA0AFE2" w14:textId="77777777" w:rsidR="000D1D9D" w:rsidRPr="000D1D9D" w:rsidRDefault="000D1D9D" w:rsidP="000D1D9D">
      <w:pPr>
        <w:rPr>
          <w:rFonts w:cs="Times New Roman"/>
          <w:szCs w:val="24"/>
          <w:lang w:val="fo-FO"/>
        </w:rPr>
      </w:pPr>
      <w:r w:rsidRPr="000D1D9D">
        <w:rPr>
          <w:rFonts w:cs="Times New Roman"/>
          <w:b/>
          <w:bCs/>
          <w:szCs w:val="24"/>
          <w:lang w:val="fo-FO"/>
        </w:rPr>
        <w:t>§ 13</w:t>
      </w:r>
      <w:r w:rsidRPr="000D1D9D">
        <w:rPr>
          <w:rFonts w:cs="Times New Roman"/>
          <w:szCs w:val="24"/>
          <w:lang w:val="fo-FO"/>
        </w:rPr>
        <w:t>. Tá motorakfør og húsvognar verða sýnd fram, skal søluprísurin, saman við merki og modelli, týðiliga upplýsast.</w:t>
      </w:r>
    </w:p>
    <w:p w14:paraId="28885536" w14:textId="77777777" w:rsidR="000D1D9D" w:rsidRPr="000D1D9D" w:rsidRDefault="000D1D9D" w:rsidP="000D1D9D">
      <w:pPr>
        <w:rPr>
          <w:rFonts w:cs="Times New Roman"/>
          <w:szCs w:val="24"/>
          <w:lang w:val="fo-FO"/>
        </w:rPr>
      </w:pPr>
      <w:r w:rsidRPr="000D1D9D">
        <w:rPr>
          <w:rFonts w:cs="Times New Roman"/>
          <w:i/>
          <w:iCs/>
          <w:szCs w:val="24"/>
          <w:lang w:val="fo-FO"/>
        </w:rPr>
        <w:t>Stk. 2.</w:t>
      </w:r>
      <w:r w:rsidRPr="000D1D9D">
        <w:rPr>
          <w:rFonts w:cs="Times New Roman"/>
          <w:szCs w:val="24"/>
          <w:lang w:val="fo-FO"/>
        </w:rPr>
        <w:t xml:space="preserve"> Umframt upplýsingarnar í stk. 1 skal seljarin upplýsa framleiðsluár og skrásetingarár, um hann hevur upplýsingarnar.</w:t>
      </w:r>
    </w:p>
    <w:p w14:paraId="1139B683" w14:textId="134BC866" w:rsidR="000D1D9D" w:rsidRDefault="000D1D9D" w:rsidP="000D1D9D">
      <w:pPr>
        <w:rPr>
          <w:rFonts w:cs="Times New Roman"/>
          <w:szCs w:val="24"/>
          <w:lang w:val="fo-FO"/>
        </w:rPr>
      </w:pPr>
    </w:p>
    <w:p w14:paraId="5D53A14F" w14:textId="77777777" w:rsidR="000D1D9D" w:rsidRPr="000D1D9D" w:rsidRDefault="000D1D9D" w:rsidP="000D1D9D">
      <w:pPr>
        <w:rPr>
          <w:rFonts w:cs="Times New Roman"/>
          <w:szCs w:val="24"/>
          <w:lang w:val="fo-FO"/>
        </w:rPr>
      </w:pPr>
    </w:p>
    <w:p w14:paraId="6E1B7469" w14:textId="77777777" w:rsidR="000D1D9D" w:rsidRPr="000D1D9D" w:rsidRDefault="000D1D9D" w:rsidP="000D1D9D">
      <w:pPr>
        <w:jc w:val="center"/>
        <w:rPr>
          <w:rFonts w:cs="Times New Roman"/>
          <w:i/>
          <w:iCs/>
          <w:szCs w:val="24"/>
          <w:lang w:val="fo-FO"/>
        </w:rPr>
      </w:pPr>
      <w:r w:rsidRPr="000D1D9D">
        <w:rPr>
          <w:rFonts w:cs="Times New Roman"/>
          <w:i/>
          <w:iCs/>
          <w:szCs w:val="24"/>
          <w:lang w:val="fo-FO"/>
        </w:rPr>
        <w:t>Prísir á brennievni til akfør</w:t>
      </w:r>
    </w:p>
    <w:p w14:paraId="2E4DE285" w14:textId="77777777" w:rsidR="000D1D9D" w:rsidRPr="000D1D9D" w:rsidRDefault="000D1D9D" w:rsidP="000D1D9D">
      <w:pPr>
        <w:rPr>
          <w:rFonts w:cs="Times New Roman"/>
          <w:szCs w:val="24"/>
          <w:lang w:val="fo-FO"/>
        </w:rPr>
      </w:pPr>
      <w:r w:rsidRPr="000D1D9D">
        <w:rPr>
          <w:rFonts w:cs="Times New Roman"/>
          <w:b/>
          <w:bCs/>
          <w:szCs w:val="24"/>
          <w:lang w:val="fo-FO"/>
        </w:rPr>
        <w:t xml:space="preserve">§ 14. </w:t>
      </w:r>
      <w:r w:rsidRPr="000D1D9D">
        <w:rPr>
          <w:rFonts w:cs="Times New Roman"/>
          <w:szCs w:val="24"/>
          <w:lang w:val="fo-FO"/>
        </w:rPr>
        <w:t>Á sølustøðum, sum selja brennievni til akfør, skulu hesar upplýsingar standa á sjónligum skelti í hesari raðfylgju:</w:t>
      </w:r>
    </w:p>
    <w:p w14:paraId="7CF7E440" w14:textId="77777777" w:rsidR="000D1D9D" w:rsidRPr="000D1D9D" w:rsidRDefault="000D1D9D" w:rsidP="000D1D9D">
      <w:pPr>
        <w:rPr>
          <w:rFonts w:cs="Times New Roman"/>
          <w:szCs w:val="24"/>
          <w:lang w:val="fo-FO"/>
        </w:rPr>
      </w:pPr>
      <w:r w:rsidRPr="000D1D9D">
        <w:rPr>
          <w:rFonts w:cs="Times New Roman"/>
          <w:szCs w:val="24"/>
          <w:lang w:val="fo-FO"/>
        </w:rPr>
        <w:t xml:space="preserve">1) Eindarprísur fyri hvønn litur og </w:t>
      </w:r>
      <w:proofErr w:type="spellStart"/>
      <w:r w:rsidRPr="000D1D9D">
        <w:rPr>
          <w:rFonts w:cs="Times New Roman"/>
          <w:szCs w:val="24"/>
          <w:lang w:val="fo-FO"/>
        </w:rPr>
        <w:t>oktantal</w:t>
      </w:r>
      <w:proofErr w:type="spellEnd"/>
      <w:r w:rsidRPr="000D1D9D">
        <w:rPr>
          <w:rFonts w:cs="Times New Roman"/>
          <w:szCs w:val="24"/>
          <w:lang w:val="fo-FO"/>
        </w:rPr>
        <w:t xml:space="preserve"> fyri 92-oktan blýfrítt bensin. </w:t>
      </w:r>
    </w:p>
    <w:p w14:paraId="4CFC6695" w14:textId="77777777" w:rsidR="000D1D9D" w:rsidRPr="000D1D9D" w:rsidRDefault="000D1D9D" w:rsidP="000D1D9D">
      <w:pPr>
        <w:rPr>
          <w:rFonts w:cs="Times New Roman"/>
          <w:szCs w:val="24"/>
          <w:lang w:val="fo-FO"/>
        </w:rPr>
      </w:pPr>
      <w:r w:rsidRPr="000D1D9D">
        <w:rPr>
          <w:rFonts w:cs="Times New Roman"/>
          <w:szCs w:val="24"/>
          <w:lang w:val="fo-FO"/>
        </w:rPr>
        <w:t xml:space="preserve">2) Eindarprísur fyri hvønn litur og </w:t>
      </w:r>
      <w:proofErr w:type="spellStart"/>
      <w:r w:rsidRPr="000D1D9D">
        <w:rPr>
          <w:rFonts w:cs="Times New Roman"/>
          <w:szCs w:val="24"/>
          <w:lang w:val="fo-FO"/>
        </w:rPr>
        <w:t>oktantal</w:t>
      </w:r>
      <w:proofErr w:type="spellEnd"/>
      <w:r w:rsidRPr="000D1D9D">
        <w:rPr>
          <w:rFonts w:cs="Times New Roman"/>
          <w:szCs w:val="24"/>
          <w:lang w:val="fo-FO"/>
        </w:rPr>
        <w:t xml:space="preserve"> fyri 95-oktan blýfrítt bensin. </w:t>
      </w:r>
    </w:p>
    <w:p w14:paraId="09F83B5F" w14:textId="77777777" w:rsidR="000D1D9D" w:rsidRPr="000D1D9D" w:rsidRDefault="000D1D9D" w:rsidP="000D1D9D">
      <w:pPr>
        <w:rPr>
          <w:rFonts w:cs="Times New Roman"/>
          <w:szCs w:val="24"/>
          <w:lang w:val="fo-FO"/>
        </w:rPr>
      </w:pPr>
      <w:r w:rsidRPr="000D1D9D">
        <w:rPr>
          <w:rFonts w:cs="Times New Roman"/>
          <w:szCs w:val="24"/>
          <w:lang w:val="fo-FO"/>
        </w:rPr>
        <w:t>2) Eindarprísur fyri hvønn litur av diesel.</w:t>
      </w:r>
    </w:p>
    <w:p w14:paraId="130A6BCE" w14:textId="6B5315FB" w:rsidR="000D1D9D" w:rsidRPr="000D1D9D" w:rsidRDefault="000D1D9D" w:rsidP="000D1D9D">
      <w:pPr>
        <w:rPr>
          <w:rFonts w:cs="Times New Roman"/>
          <w:szCs w:val="24"/>
          <w:lang w:val="fo-FO"/>
        </w:rPr>
      </w:pPr>
      <w:r w:rsidRPr="000D1D9D">
        <w:rPr>
          <w:rFonts w:cs="Times New Roman"/>
          <w:i/>
          <w:iCs/>
          <w:szCs w:val="24"/>
          <w:lang w:val="fo-FO"/>
        </w:rPr>
        <w:t>Stk. 2.</w:t>
      </w:r>
      <w:r w:rsidRPr="000D1D9D">
        <w:rPr>
          <w:rFonts w:cs="Times New Roman"/>
          <w:szCs w:val="24"/>
          <w:lang w:val="fo-FO"/>
        </w:rPr>
        <w:t xml:space="preserve"> Aðrar upplýsingar um brennievni vera at seta undir upplýsing</w:t>
      </w:r>
      <w:r w:rsidR="00DC04DD">
        <w:rPr>
          <w:rFonts w:cs="Times New Roman"/>
          <w:szCs w:val="24"/>
          <w:lang w:val="fo-FO"/>
        </w:rPr>
        <w:t>arnar</w:t>
      </w:r>
      <w:r w:rsidRPr="000D1D9D">
        <w:rPr>
          <w:rFonts w:cs="Times New Roman"/>
          <w:szCs w:val="24"/>
          <w:lang w:val="fo-FO"/>
        </w:rPr>
        <w:t xml:space="preserve"> um diesel. </w:t>
      </w:r>
    </w:p>
    <w:p w14:paraId="11D66B78" w14:textId="77777777" w:rsidR="000D1D9D" w:rsidRPr="000D1D9D" w:rsidRDefault="000D1D9D" w:rsidP="000D1D9D">
      <w:pPr>
        <w:rPr>
          <w:rFonts w:cs="Times New Roman"/>
          <w:szCs w:val="24"/>
          <w:lang w:val="fo-FO"/>
        </w:rPr>
      </w:pPr>
      <w:r w:rsidRPr="000D1D9D">
        <w:rPr>
          <w:rFonts w:cs="Times New Roman"/>
          <w:i/>
          <w:iCs/>
          <w:szCs w:val="24"/>
          <w:lang w:val="fo-FO"/>
        </w:rPr>
        <w:t>Stk. 3</w:t>
      </w:r>
      <w:r w:rsidRPr="000D1D9D">
        <w:rPr>
          <w:rFonts w:cs="Times New Roman"/>
          <w:szCs w:val="24"/>
          <w:lang w:val="fo-FO"/>
        </w:rPr>
        <w:t xml:space="preserve">. Snið og staðseting á skeltunum skal gerast soleiðis, at tey, ið koyra framvið, lætt kunnu lesa skeltini.  </w:t>
      </w:r>
    </w:p>
    <w:p w14:paraId="69E5A5D2" w14:textId="77777777" w:rsidR="000D1D9D" w:rsidRPr="000D1D9D" w:rsidRDefault="000D1D9D" w:rsidP="000D1D9D">
      <w:pPr>
        <w:rPr>
          <w:rFonts w:cs="Times New Roman"/>
          <w:szCs w:val="24"/>
          <w:lang w:val="fo-FO"/>
        </w:rPr>
      </w:pPr>
    </w:p>
    <w:p w14:paraId="2A175137" w14:textId="77777777" w:rsidR="000D1D9D" w:rsidRPr="000D1D9D" w:rsidRDefault="000D1D9D" w:rsidP="000D1D9D">
      <w:pPr>
        <w:rPr>
          <w:rFonts w:cs="Times New Roman"/>
          <w:szCs w:val="24"/>
          <w:lang w:val="fo-FO"/>
        </w:rPr>
      </w:pPr>
      <w:r w:rsidRPr="000D1D9D">
        <w:rPr>
          <w:rFonts w:cs="Times New Roman"/>
          <w:b/>
          <w:bCs/>
          <w:szCs w:val="24"/>
          <w:lang w:val="fo-FO"/>
        </w:rPr>
        <w:t>§ 15</w:t>
      </w:r>
      <w:r w:rsidRPr="000D1D9D">
        <w:rPr>
          <w:rFonts w:cs="Times New Roman"/>
          <w:szCs w:val="24"/>
          <w:lang w:val="fo-FO"/>
        </w:rPr>
        <w:t xml:space="preserve">. Á sølustøðum, sum selja brennievni til akfør, skulu allar pumpur hava upplýsingar um </w:t>
      </w:r>
      <w:proofErr w:type="spellStart"/>
      <w:r w:rsidRPr="000D1D9D">
        <w:rPr>
          <w:rFonts w:cs="Times New Roman"/>
          <w:szCs w:val="24"/>
          <w:lang w:val="fo-FO"/>
        </w:rPr>
        <w:t>oktantal</w:t>
      </w:r>
      <w:proofErr w:type="spellEnd"/>
      <w:r w:rsidRPr="000D1D9D">
        <w:rPr>
          <w:rFonts w:cs="Times New Roman"/>
          <w:szCs w:val="24"/>
          <w:lang w:val="fo-FO"/>
        </w:rPr>
        <w:t>, góðskuna á brennievninum og eindarprísin fyri hvønn litur av brennievni, sbr. § 3, stk. 1, 2. pkt.</w:t>
      </w:r>
    </w:p>
    <w:p w14:paraId="5B938258" w14:textId="77777777" w:rsidR="000D1D9D" w:rsidRPr="000D1D9D" w:rsidRDefault="000D1D9D" w:rsidP="000D1D9D">
      <w:pPr>
        <w:rPr>
          <w:rFonts w:cs="Times New Roman"/>
          <w:szCs w:val="24"/>
          <w:lang w:val="fo-FO"/>
        </w:rPr>
      </w:pPr>
    </w:p>
    <w:p w14:paraId="44FC623B" w14:textId="77777777" w:rsidR="000D1D9D" w:rsidRPr="000D1D9D" w:rsidRDefault="000D1D9D" w:rsidP="000D1D9D">
      <w:pPr>
        <w:jc w:val="center"/>
        <w:rPr>
          <w:rFonts w:cs="Times New Roman"/>
          <w:i/>
          <w:iCs/>
          <w:szCs w:val="24"/>
          <w:lang w:val="fo-FO"/>
        </w:rPr>
      </w:pPr>
      <w:r w:rsidRPr="000D1D9D">
        <w:rPr>
          <w:rFonts w:cs="Times New Roman"/>
          <w:i/>
          <w:iCs/>
          <w:szCs w:val="24"/>
          <w:lang w:val="fo-FO"/>
        </w:rPr>
        <w:t>Undantøk</w:t>
      </w:r>
    </w:p>
    <w:p w14:paraId="2151395E" w14:textId="77777777" w:rsidR="000D1D9D" w:rsidRPr="000D1D9D" w:rsidRDefault="000D1D9D" w:rsidP="000D1D9D">
      <w:pPr>
        <w:rPr>
          <w:rFonts w:cs="Times New Roman"/>
          <w:szCs w:val="24"/>
          <w:lang w:val="fo-FO"/>
        </w:rPr>
      </w:pPr>
      <w:r w:rsidRPr="000D1D9D">
        <w:rPr>
          <w:rFonts w:cs="Times New Roman"/>
          <w:b/>
          <w:bCs/>
          <w:szCs w:val="24"/>
          <w:lang w:val="fo-FO"/>
        </w:rPr>
        <w:t>§ 16</w:t>
      </w:r>
      <w:r w:rsidRPr="000D1D9D">
        <w:rPr>
          <w:rFonts w:cs="Times New Roman"/>
          <w:szCs w:val="24"/>
          <w:lang w:val="fo-FO"/>
        </w:rPr>
        <w:t>. Brúkaraumboðið kann geva undantak frá kravinum um eindarprís fyri ávísar vørur, um kravið er nyttuleyst ella ørkymlandi.</w:t>
      </w:r>
    </w:p>
    <w:p w14:paraId="44128D03" w14:textId="77777777" w:rsidR="000D1D9D" w:rsidRPr="000D1D9D" w:rsidRDefault="000D1D9D" w:rsidP="000D1D9D">
      <w:pPr>
        <w:rPr>
          <w:rFonts w:cs="Times New Roman"/>
          <w:szCs w:val="24"/>
          <w:lang w:val="fo-FO"/>
        </w:rPr>
      </w:pPr>
    </w:p>
    <w:p w14:paraId="16B878F8" w14:textId="77777777" w:rsidR="000D1D9D" w:rsidRPr="000D1D9D" w:rsidRDefault="000D1D9D" w:rsidP="000D1D9D">
      <w:pPr>
        <w:jc w:val="center"/>
        <w:rPr>
          <w:rFonts w:cs="Times New Roman"/>
          <w:i/>
          <w:iCs/>
          <w:szCs w:val="24"/>
          <w:lang w:val="fo-FO"/>
        </w:rPr>
      </w:pPr>
      <w:r w:rsidRPr="000D1D9D">
        <w:rPr>
          <w:rFonts w:cs="Times New Roman"/>
          <w:i/>
          <w:iCs/>
          <w:szCs w:val="24"/>
          <w:lang w:val="fo-FO"/>
        </w:rPr>
        <w:t>Revsing</w:t>
      </w:r>
    </w:p>
    <w:p w14:paraId="3E058382" w14:textId="77777777" w:rsidR="000D1D9D" w:rsidRPr="000D1D9D" w:rsidRDefault="000D1D9D" w:rsidP="000D1D9D">
      <w:pPr>
        <w:rPr>
          <w:rFonts w:cs="Times New Roman"/>
          <w:szCs w:val="24"/>
          <w:lang w:val="fo-FO"/>
        </w:rPr>
      </w:pPr>
      <w:r w:rsidRPr="000D1D9D">
        <w:rPr>
          <w:rFonts w:cs="Times New Roman"/>
          <w:b/>
          <w:bCs/>
          <w:szCs w:val="24"/>
          <w:lang w:val="fo-FO"/>
        </w:rPr>
        <w:t>§ 17</w:t>
      </w:r>
      <w:r w:rsidRPr="000D1D9D">
        <w:rPr>
          <w:rFonts w:cs="Times New Roman"/>
          <w:szCs w:val="24"/>
          <w:lang w:val="fo-FO"/>
        </w:rPr>
        <w:t xml:space="preserve">. Brot á ásetingarnar í § 3, stk. 1 og 3, §§ 5-7, § 9, § 10, 2. pkt., § 11 og §§ 13-15 verða revsað við sekt. </w:t>
      </w:r>
    </w:p>
    <w:p w14:paraId="7492DBA7" w14:textId="77777777" w:rsidR="000D1D9D" w:rsidRPr="000D1D9D" w:rsidRDefault="000D1D9D" w:rsidP="000D1D9D">
      <w:pPr>
        <w:rPr>
          <w:rFonts w:cs="Times New Roman"/>
          <w:szCs w:val="24"/>
          <w:lang w:val="fo-FO"/>
        </w:rPr>
      </w:pPr>
      <w:r w:rsidRPr="000D1D9D">
        <w:rPr>
          <w:rFonts w:cs="Times New Roman"/>
          <w:i/>
          <w:iCs/>
          <w:szCs w:val="24"/>
          <w:lang w:val="fo-FO"/>
        </w:rPr>
        <w:t>Stk. 2</w:t>
      </w:r>
      <w:r w:rsidRPr="000D1D9D">
        <w:rPr>
          <w:rFonts w:cs="Times New Roman"/>
          <w:szCs w:val="24"/>
          <w:lang w:val="fo-FO"/>
        </w:rPr>
        <w:t xml:space="preserve">. Revsiábyrgd kann verða áløgd løgfrøðiligum persónum sambært reglunum í 5. kapitli í revsilógini. </w:t>
      </w:r>
    </w:p>
    <w:p w14:paraId="4101962C" w14:textId="77777777" w:rsidR="000D1D9D" w:rsidRPr="000D1D9D" w:rsidRDefault="000D1D9D" w:rsidP="000D1D9D">
      <w:pPr>
        <w:rPr>
          <w:rFonts w:cs="Times New Roman"/>
          <w:szCs w:val="24"/>
          <w:lang w:val="fo-FO"/>
        </w:rPr>
      </w:pPr>
    </w:p>
    <w:p w14:paraId="74EADD3D" w14:textId="77777777" w:rsidR="000D1D9D" w:rsidRPr="000D1D9D" w:rsidRDefault="000D1D9D" w:rsidP="000D1D9D">
      <w:pPr>
        <w:jc w:val="center"/>
        <w:rPr>
          <w:rFonts w:cs="Times New Roman"/>
          <w:i/>
          <w:iCs/>
          <w:szCs w:val="24"/>
          <w:lang w:val="fo-FO"/>
        </w:rPr>
      </w:pPr>
      <w:r w:rsidRPr="000D1D9D">
        <w:rPr>
          <w:rFonts w:cs="Times New Roman"/>
          <w:i/>
          <w:iCs/>
          <w:szCs w:val="24"/>
          <w:lang w:val="fo-FO"/>
        </w:rPr>
        <w:t>Gildiskoma</w:t>
      </w:r>
    </w:p>
    <w:p w14:paraId="0721D041" w14:textId="77777777" w:rsidR="000D1D9D" w:rsidRPr="000D1D9D" w:rsidRDefault="000D1D9D" w:rsidP="000D1D9D">
      <w:pPr>
        <w:rPr>
          <w:rFonts w:cs="Times New Roman"/>
          <w:szCs w:val="24"/>
          <w:lang w:val="fo-FO"/>
        </w:rPr>
      </w:pPr>
      <w:r w:rsidRPr="000D1D9D">
        <w:rPr>
          <w:rFonts w:cs="Times New Roman"/>
          <w:b/>
          <w:bCs/>
          <w:szCs w:val="24"/>
          <w:lang w:val="fo-FO"/>
        </w:rPr>
        <w:t>§ 18</w:t>
      </w:r>
      <w:r w:rsidRPr="000D1D9D">
        <w:rPr>
          <w:rFonts w:cs="Times New Roman"/>
          <w:szCs w:val="24"/>
          <w:lang w:val="fo-FO"/>
        </w:rPr>
        <w:t>. Henda kunngerð kemur í gildi dagin eftir, at hon er kunngjørd.</w:t>
      </w:r>
    </w:p>
    <w:p w14:paraId="093328D9" w14:textId="77777777" w:rsidR="000D1D9D" w:rsidRPr="000D1D9D" w:rsidRDefault="000D1D9D" w:rsidP="000D1D9D">
      <w:pPr>
        <w:rPr>
          <w:rFonts w:cs="Times New Roman"/>
          <w:szCs w:val="24"/>
          <w:lang w:val="fo-FO"/>
        </w:rPr>
      </w:pPr>
    </w:p>
    <w:p w14:paraId="05F5CEF8" w14:textId="77777777" w:rsidR="000D1D9D" w:rsidRPr="000D1D9D" w:rsidRDefault="000D1D9D" w:rsidP="000D1D9D">
      <w:pPr>
        <w:rPr>
          <w:rFonts w:cs="Times New Roman"/>
          <w:szCs w:val="24"/>
          <w:lang w:val="fo-FO"/>
        </w:rPr>
      </w:pPr>
    </w:p>
    <w:p w14:paraId="4858BF75" w14:textId="77777777" w:rsidR="00895D86" w:rsidRPr="000D1D9D" w:rsidRDefault="00895D86" w:rsidP="00895D86">
      <w:pPr>
        <w:rPr>
          <w:rFonts w:cs="Times New Roman"/>
          <w:szCs w:val="24"/>
          <w:lang w:val="fo-FO"/>
        </w:rPr>
      </w:pPr>
    </w:p>
    <w:p w14:paraId="0FB5C798" w14:textId="77777777" w:rsidR="00895D86" w:rsidRPr="000D1D9D" w:rsidRDefault="00895D86" w:rsidP="00895D86">
      <w:pPr>
        <w:jc w:val="center"/>
        <w:rPr>
          <w:rFonts w:cs="Times New Roman"/>
          <w:szCs w:val="24"/>
          <w:lang w:val="fo-FO"/>
        </w:rPr>
        <w:sectPr w:rsidR="00895D86" w:rsidRPr="000D1D9D" w:rsidSect="00895D86">
          <w:type w:val="continuous"/>
          <w:pgSz w:w="11906" w:h="16838"/>
          <w:pgMar w:top="1440" w:right="1440" w:bottom="1440" w:left="1440" w:header="709" w:footer="709" w:gutter="0"/>
          <w:cols w:num="2" w:space="708"/>
          <w:docGrid w:linePitch="360"/>
        </w:sectPr>
      </w:pPr>
    </w:p>
    <w:p w14:paraId="397585AD" w14:textId="721053AB" w:rsidR="00895D86" w:rsidRPr="000D1D9D" w:rsidRDefault="000D1D9D" w:rsidP="00895D86">
      <w:pPr>
        <w:jc w:val="center"/>
        <w:rPr>
          <w:rFonts w:cs="Times New Roman"/>
          <w:szCs w:val="24"/>
          <w:lang w:val="fo-FO"/>
        </w:rPr>
      </w:pPr>
      <w:r>
        <w:rPr>
          <w:rFonts w:cs="Times New Roman"/>
          <w:szCs w:val="24"/>
          <w:lang w:val="fo-FO"/>
        </w:rPr>
        <w:t>Umhvørvis- og vinnumálaráðið</w:t>
      </w:r>
      <w:r w:rsidR="00895D86" w:rsidRPr="000D1D9D">
        <w:rPr>
          <w:rFonts w:cs="Times New Roman"/>
          <w:szCs w:val="24"/>
          <w:lang w:val="fo-FO"/>
        </w:rPr>
        <w:t xml:space="preserve">, </w:t>
      </w:r>
      <w:r w:rsidR="00895D86" w:rsidRPr="000D1D9D">
        <w:rPr>
          <w:rFonts w:cs="Times New Roman"/>
          <w:szCs w:val="24"/>
          <w:highlight w:val="yellow"/>
          <w:lang w:val="fo-FO"/>
        </w:rPr>
        <w:t>dagfesting</w:t>
      </w:r>
    </w:p>
    <w:p w14:paraId="6C95FFA2" w14:textId="77777777" w:rsidR="00895D86" w:rsidRPr="000D1D9D" w:rsidRDefault="00895D86" w:rsidP="00895D86">
      <w:pPr>
        <w:jc w:val="center"/>
        <w:rPr>
          <w:rFonts w:cs="Times New Roman"/>
          <w:szCs w:val="24"/>
          <w:lang w:val="fo-FO"/>
        </w:rPr>
      </w:pPr>
    </w:p>
    <w:p w14:paraId="517CD61F" w14:textId="77777777" w:rsidR="00895D86" w:rsidRPr="000D1D9D" w:rsidRDefault="00895D86" w:rsidP="00895D86">
      <w:pPr>
        <w:jc w:val="center"/>
        <w:rPr>
          <w:rFonts w:cs="Times New Roman"/>
          <w:szCs w:val="24"/>
          <w:lang w:val="fo-FO"/>
        </w:rPr>
      </w:pPr>
    </w:p>
    <w:p w14:paraId="3D2F4F3C" w14:textId="035CACC4" w:rsidR="00895D86" w:rsidRPr="000D1D9D" w:rsidRDefault="000D1D9D" w:rsidP="00895D86">
      <w:pPr>
        <w:jc w:val="center"/>
        <w:rPr>
          <w:rFonts w:cs="Times New Roman"/>
          <w:b/>
          <w:szCs w:val="24"/>
          <w:lang w:val="fo-FO"/>
        </w:rPr>
      </w:pPr>
      <w:r>
        <w:rPr>
          <w:rFonts w:cs="Times New Roman"/>
          <w:b/>
          <w:szCs w:val="24"/>
          <w:lang w:val="fo-FO"/>
        </w:rPr>
        <w:t>Magnus Rasmussen</w:t>
      </w:r>
    </w:p>
    <w:p w14:paraId="5AFF80D2" w14:textId="77777777" w:rsidR="00895D86" w:rsidRPr="000D1D9D" w:rsidRDefault="00895D86" w:rsidP="00895D86">
      <w:pPr>
        <w:jc w:val="center"/>
        <w:rPr>
          <w:rFonts w:cs="Times New Roman"/>
          <w:szCs w:val="24"/>
          <w:lang w:val="fo-FO"/>
        </w:rPr>
      </w:pPr>
      <w:r w:rsidRPr="000D1D9D">
        <w:rPr>
          <w:rFonts w:cs="Times New Roman"/>
          <w:szCs w:val="24"/>
          <w:lang w:val="fo-FO"/>
        </w:rPr>
        <w:t>landsstýrismaður</w:t>
      </w:r>
    </w:p>
    <w:p w14:paraId="22678E2E" w14:textId="77777777" w:rsidR="00895D86" w:rsidRPr="000D1D9D" w:rsidRDefault="00895D86" w:rsidP="00895D86">
      <w:pPr>
        <w:jc w:val="right"/>
        <w:rPr>
          <w:rFonts w:cs="Times New Roman"/>
          <w:szCs w:val="24"/>
          <w:lang w:val="fo-FO"/>
        </w:rPr>
      </w:pPr>
    </w:p>
    <w:p w14:paraId="76FE6958" w14:textId="5D53C42B" w:rsidR="00081C11" w:rsidRPr="000D1D9D" w:rsidRDefault="00895D86" w:rsidP="000D1D9D">
      <w:pPr>
        <w:jc w:val="right"/>
        <w:rPr>
          <w:sz w:val="22"/>
          <w:lang w:val="fo-FO"/>
        </w:rPr>
      </w:pPr>
      <w:r w:rsidRPr="000D1D9D">
        <w:rPr>
          <w:rFonts w:cs="Times New Roman"/>
          <w:szCs w:val="24"/>
          <w:lang w:val="fo-FO"/>
        </w:rPr>
        <w:t xml:space="preserve">/ </w:t>
      </w:r>
      <w:r w:rsidR="000D1D9D">
        <w:rPr>
          <w:rFonts w:cs="Times New Roman"/>
          <w:szCs w:val="24"/>
          <w:lang w:val="fo-FO"/>
        </w:rPr>
        <w:t>Herálvur Joensen</w:t>
      </w:r>
    </w:p>
    <w:sectPr w:rsidR="00081C11" w:rsidRPr="000D1D9D" w:rsidSect="00895D86">
      <w:type w:val="continuous"/>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DC"/>
    <w:rsid w:val="0007295E"/>
    <w:rsid w:val="00081C11"/>
    <w:rsid w:val="000D1D9D"/>
    <w:rsid w:val="00173350"/>
    <w:rsid w:val="002173D7"/>
    <w:rsid w:val="00292D02"/>
    <w:rsid w:val="004B61DC"/>
    <w:rsid w:val="00527F70"/>
    <w:rsid w:val="00666543"/>
    <w:rsid w:val="006E7375"/>
    <w:rsid w:val="00895D86"/>
    <w:rsid w:val="00AF589B"/>
    <w:rsid w:val="00B52800"/>
    <w:rsid w:val="00BA50EE"/>
    <w:rsid w:val="00CA4B5E"/>
    <w:rsid w:val="00CC3DD4"/>
    <w:rsid w:val="00DC04DD"/>
    <w:rsid w:val="00FC54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F0736"/>
  <w14:defaultImageDpi w14:val="330"/>
  <w15:chartTrackingRefBased/>
  <w15:docId w15:val="{F5B36E6D-121C-4095-86E8-C50BFF23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D86"/>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pPr>
    <w:rPr>
      <w:rFonts w:eastAsia="Times New Roman" w:cs="Times New Roman"/>
      <w:szCs w:val="24"/>
    </w:rPr>
  </w:style>
  <w:style w:type="paragraph" w:customStyle="1" w:styleId="Stk">
    <w:name w:val="Stk"/>
    <w:basedOn w:val="Normal"/>
    <w:rsid w:val="00AF589B"/>
    <w:pPr>
      <w:ind w:firstLine="170"/>
    </w:pPr>
    <w:rPr>
      <w:rFonts w:eastAsia="Times New Roman" w:cs="Times New Roman"/>
      <w:szCs w:val="24"/>
    </w:rPr>
  </w:style>
  <w:style w:type="paragraph" w:customStyle="1" w:styleId="Paragraftekst">
    <w:name w:val="Paragraftekst"/>
    <w:basedOn w:val="Normal"/>
    <w:next w:val="Normal"/>
    <w:rsid w:val="00AF589B"/>
    <w:pPr>
      <w:spacing w:before="240"/>
      <w:ind w:firstLine="170"/>
    </w:pPr>
    <w:rPr>
      <w:rFonts w:eastAsia="Times New Roman" w:cs="Times New Roman"/>
      <w:szCs w:val="24"/>
    </w:rPr>
  </w:style>
  <w:style w:type="character" w:customStyle="1" w:styleId="TypografiFed">
    <w:name w:val="Typografi Fed"/>
    <w:basedOn w:val="Standardskrifttypeiafsnit"/>
    <w:rsid w:val="00895D86"/>
    <w:rPr>
      <w:rFonts w:ascii="Times New Roman" w:hAnsi="Times New Roman" w:cs="Times New Roman" w:hint="default"/>
      <w:b/>
      <w:bCs/>
      <w:sz w:val="24"/>
    </w:rPr>
  </w:style>
  <w:style w:type="character" w:customStyle="1" w:styleId="TypografiKursiv">
    <w:name w:val="Typografi Kursiv"/>
    <w:basedOn w:val="Standardskrifttypeiafsnit"/>
    <w:rsid w:val="00895D86"/>
    <w:rPr>
      <w:rFonts w:ascii="Times New Roman" w:hAnsi="Times New Roman" w:cs="Times New Roman" w:hint="default"/>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535746">
      <w:bodyDiv w:val="1"/>
      <w:marLeft w:val="0"/>
      <w:marRight w:val="0"/>
      <w:marTop w:val="0"/>
      <w:marBottom w:val="0"/>
      <w:divBdr>
        <w:top w:val="none" w:sz="0" w:space="0" w:color="auto"/>
        <w:left w:val="none" w:sz="0" w:space="0" w:color="auto"/>
        <w:bottom w:val="none" w:sz="0" w:space="0" w:color="auto"/>
        <w:right w:val="none" w:sz="0" w:space="0" w:color="auto"/>
      </w:divBdr>
    </w:div>
    <w:div w:id="18607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73155\Downloads\uppskot-til-kunnger&#240;%20(7).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uppskot-til-kunngerð (7)</Template>
  <TotalTime>207</TotalTime>
  <Pages>1</Pages>
  <Words>1175</Words>
  <Characters>7172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Uppskot til kunngerð</vt:lpstr>
    </vt:vector>
  </TitlesOfParts>
  <Company>Lógartænastan</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kunngerð</dc:title>
  <dc:subject>Uppskot til kunngerð</dc:subject>
  <dc:creator>Joanna Djurhuus</dc:creator>
  <cp:keywords>5. útgáva - desember 2020</cp:keywords>
  <dc:description>Uppskot til kunngerð 5. útgáva - desember 2020</dc:description>
  <cp:lastModifiedBy>Joanna Djurhuus</cp:lastModifiedBy>
  <cp:revision>3</cp:revision>
  <cp:lastPrinted>2022-08-24T14:16:00Z</cp:lastPrinted>
  <dcterms:created xsi:type="dcterms:W3CDTF">2022-08-24T10:47:00Z</dcterms:created>
  <dcterms:modified xsi:type="dcterms:W3CDTF">2022-08-25T07:08:00Z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ies>
</file>