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9C65FA" w:rsidRDefault="001B5E54" w:rsidP="009C65FA">
      <w:pPr>
        <w:spacing w:after="0"/>
        <w:jc w:val="center"/>
        <w:rPr>
          <w:rFonts w:cs="Times New Roman"/>
          <w:b/>
          <w:sz w:val="32"/>
          <w:szCs w:val="32"/>
        </w:rPr>
      </w:pPr>
      <w:r w:rsidRPr="009C65FA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8B">
        <w:rPr>
          <w:rFonts w:cs="Times New Roman"/>
          <w:b/>
          <w:sz w:val="32"/>
          <w:szCs w:val="32"/>
        </w:rPr>
        <w:t>H</w:t>
      </w:r>
      <w:r w:rsidR="00CD2D63">
        <w:rPr>
          <w:rFonts w:cs="Times New Roman"/>
          <w:b/>
          <w:sz w:val="32"/>
          <w:szCs w:val="32"/>
        </w:rPr>
        <w:t>EILSUMÁLARÁÐIÐ</w:t>
      </w:r>
    </w:p>
    <w:p w:rsidR="008B219C" w:rsidRPr="009C65FA" w:rsidRDefault="008B219C" w:rsidP="0093700D">
      <w:pPr>
        <w:spacing w:after="0"/>
        <w:rPr>
          <w:rStyle w:val="TypografiFed"/>
          <w:rFonts w:cs="Times New Roman"/>
          <w:b w:val="0"/>
        </w:rPr>
      </w:pPr>
    </w:p>
    <w:p w:rsidR="00C8253F" w:rsidRPr="009C65FA" w:rsidRDefault="00C8253F" w:rsidP="0093700D">
      <w:pPr>
        <w:spacing w:after="0"/>
        <w:rPr>
          <w:rStyle w:val="TypografiFed"/>
          <w:rFonts w:cs="Times New Roman"/>
          <w:b w:val="0"/>
        </w:rPr>
      </w:pPr>
    </w:p>
    <w:p w:rsidR="00C8253F" w:rsidRPr="009C65FA" w:rsidRDefault="00C8253F" w:rsidP="0093700D">
      <w:pPr>
        <w:spacing w:after="0"/>
        <w:rPr>
          <w:rStyle w:val="TypografiFed"/>
          <w:rFonts w:cs="Times New Roman"/>
          <w:b w:val="0"/>
        </w:rPr>
      </w:pPr>
    </w:p>
    <w:p w:rsidR="00464E42" w:rsidRPr="009C65FA" w:rsidRDefault="00464E42" w:rsidP="0093700D">
      <w:pPr>
        <w:rPr>
          <w:rStyle w:val="TypografiFed"/>
          <w:rFonts w:cs="Times New Roman"/>
        </w:rPr>
      </w:pPr>
      <w:r w:rsidRPr="009C65FA">
        <w:rPr>
          <w:rStyle w:val="TypografiFed"/>
          <w:rFonts w:cs="Times New Roman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9C65FA" w:rsidTr="00F86F03">
        <w:trPr>
          <w:jc w:val="right"/>
        </w:trPr>
        <w:tc>
          <w:tcPr>
            <w:tcW w:w="1559" w:type="dxa"/>
          </w:tcPr>
          <w:p w:rsidR="00464E42" w:rsidRPr="009C65FA" w:rsidRDefault="00464E42" w:rsidP="0093700D">
            <w:pPr>
              <w:rPr>
                <w:rFonts w:eastAsia="Calibri" w:cs="Times New Roman"/>
              </w:rPr>
            </w:pPr>
            <w:r w:rsidRPr="009C65FA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9C65FA" w:rsidRDefault="00CD5FDB" w:rsidP="00AC549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 oktober</w:t>
            </w:r>
            <w:r w:rsidR="00AC5490">
              <w:rPr>
                <w:rFonts w:eastAsia="Calibri" w:cs="Times New Roman"/>
              </w:rPr>
              <w:t xml:space="preserve"> 2019</w:t>
            </w:r>
          </w:p>
        </w:tc>
      </w:tr>
      <w:tr w:rsidR="00464E42" w:rsidRPr="009C65FA" w:rsidTr="00F86F03">
        <w:trPr>
          <w:jc w:val="right"/>
        </w:trPr>
        <w:tc>
          <w:tcPr>
            <w:tcW w:w="1559" w:type="dxa"/>
          </w:tcPr>
          <w:p w:rsidR="00464E42" w:rsidRPr="009C65FA" w:rsidRDefault="00464E42" w:rsidP="0093700D">
            <w:pPr>
              <w:rPr>
                <w:rFonts w:eastAsia="Calibri" w:cs="Times New Roman"/>
              </w:rPr>
            </w:pPr>
            <w:r w:rsidRPr="009C65FA">
              <w:rPr>
                <w:rFonts w:eastAsia="Calibri" w:cs="Times New Roman"/>
              </w:rPr>
              <w:t>Mál nr</w:t>
            </w:r>
            <w:r w:rsidR="00380999" w:rsidRPr="009C65FA">
              <w:rPr>
                <w:rFonts w:eastAsia="Calibri" w:cs="Times New Roman"/>
              </w:rPr>
              <w:t>.</w:t>
            </w:r>
            <w:r w:rsidRPr="009C65F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9C65FA" w:rsidRDefault="00AC5490" w:rsidP="00AC549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19/00785-1</w:t>
            </w:r>
          </w:p>
        </w:tc>
      </w:tr>
      <w:tr w:rsidR="00464E42" w:rsidRPr="009C65FA" w:rsidTr="00F86F03">
        <w:trPr>
          <w:jc w:val="right"/>
        </w:trPr>
        <w:tc>
          <w:tcPr>
            <w:tcW w:w="1559" w:type="dxa"/>
          </w:tcPr>
          <w:p w:rsidR="00464E42" w:rsidRPr="009C65FA" w:rsidRDefault="00464E42" w:rsidP="0093700D">
            <w:pPr>
              <w:rPr>
                <w:rFonts w:eastAsia="Calibri" w:cs="Times New Roman"/>
              </w:rPr>
            </w:pPr>
            <w:r w:rsidRPr="009C65FA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:rsidR="00464E42" w:rsidRPr="009C65FA" w:rsidRDefault="00005226" w:rsidP="00AC549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RM/as</w:t>
            </w:r>
          </w:p>
        </w:tc>
      </w:tr>
      <w:tr w:rsidR="0093700D" w:rsidRPr="009C65FA" w:rsidTr="00F86F03">
        <w:trPr>
          <w:jc w:val="right"/>
        </w:trPr>
        <w:tc>
          <w:tcPr>
            <w:tcW w:w="1559" w:type="dxa"/>
          </w:tcPr>
          <w:p w:rsidR="0093700D" w:rsidRPr="009C65FA" w:rsidRDefault="0093700D" w:rsidP="0093700D">
            <w:pPr>
              <w:rPr>
                <w:rFonts w:eastAsia="Calibri" w:cs="Times New Roman"/>
              </w:rPr>
            </w:pPr>
            <w:r w:rsidRPr="009C65FA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93700D" w:rsidRPr="009C65FA" w:rsidRDefault="0093700D" w:rsidP="009C65F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r w:rsidRPr="009C65FA">
              <w:rPr>
                <w:rFonts w:eastAsia="Calibri" w:cs="Times New Roman"/>
                <w:szCs w:val="24"/>
              </w:rPr>
              <w:t xml:space="preserve">Lógartænastan </w:t>
            </w:r>
            <w:r w:rsidR="009C65FA" w:rsidRPr="009C65FA">
              <w:rPr>
                <w:rFonts w:eastAsia="Calibri" w:cs="Times New Roman"/>
                <w:szCs w:val="24"/>
              </w:rPr>
              <w:t>dagfestir</w:t>
            </w:r>
          </w:p>
        </w:tc>
      </w:tr>
    </w:tbl>
    <w:p w:rsidR="00464E42" w:rsidRPr="009C65FA" w:rsidRDefault="00464E42" w:rsidP="0093700D">
      <w:pPr>
        <w:spacing w:after="0"/>
        <w:rPr>
          <w:rFonts w:cs="Times New Roman"/>
          <w:szCs w:val="24"/>
        </w:rPr>
      </w:pPr>
    </w:p>
    <w:p w:rsidR="00D354E5" w:rsidRPr="009C65FA" w:rsidRDefault="00D354E5" w:rsidP="0093700D">
      <w:pPr>
        <w:spacing w:after="0"/>
        <w:rPr>
          <w:rStyle w:val="TypografiFed"/>
          <w:rFonts w:cs="Times New Roman"/>
          <w:b w:val="0"/>
        </w:rPr>
      </w:pPr>
    </w:p>
    <w:p w:rsidR="009C3E65" w:rsidRPr="009C65FA" w:rsidRDefault="009C3E65" w:rsidP="0093700D">
      <w:pPr>
        <w:spacing w:after="0"/>
        <w:rPr>
          <w:rStyle w:val="TypografiFed"/>
          <w:rFonts w:cs="Times New Roman"/>
          <w:b w:val="0"/>
        </w:rPr>
      </w:pPr>
    </w:p>
    <w:p w:rsidR="00D354E5" w:rsidRPr="009C65FA" w:rsidRDefault="00D354E5" w:rsidP="0093700D">
      <w:pPr>
        <w:spacing w:after="0"/>
        <w:jc w:val="center"/>
        <w:rPr>
          <w:rFonts w:cs="Times New Roman"/>
          <w:b/>
          <w:szCs w:val="24"/>
        </w:rPr>
      </w:pPr>
      <w:r w:rsidRPr="009C65FA">
        <w:rPr>
          <w:rFonts w:cs="Times New Roman"/>
          <w:b/>
          <w:szCs w:val="24"/>
        </w:rPr>
        <w:t>Uppskot til</w:t>
      </w:r>
    </w:p>
    <w:p w:rsidR="00C8253F" w:rsidRPr="009C65FA" w:rsidRDefault="00C8253F" w:rsidP="0093700D">
      <w:pPr>
        <w:spacing w:after="0"/>
        <w:jc w:val="center"/>
        <w:rPr>
          <w:rFonts w:cs="Times New Roman"/>
          <w:b/>
          <w:szCs w:val="24"/>
        </w:rPr>
      </w:pPr>
    </w:p>
    <w:p w:rsidR="00D354E5" w:rsidRPr="009C65FA" w:rsidRDefault="00D354E5" w:rsidP="0093700D">
      <w:pPr>
        <w:spacing w:after="0"/>
        <w:jc w:val="center"/>
        <w:rPr>
          <w:rFonts w:cs="Times New Roman"/>
          <w:b/>
          <w:szCs w:val="24"/>
        </w:rPr>
      </w:pPr>
      <w:r w:rsidRPr="009C65FA">
        <w:rPr>
          <w:rFonts w:cs="Times New Roman"/>
          <w:b/>
          <w:szCs w:val="24"/>
        </w:rPr>
        <w:t>Løgtingslóg um</w:t>
      </w:r>
      <w:r w:rsidR="00861768" w:rsidRPr="009C65FA">
        <w:rPr>
          <w:rFonts w:cs="Times New Roman"/>
          <w:b/>
          <w:szCs w:val="24"/>
        </w:rPr>
        <w:t xml:space="preserve"> broyting í løgtingslóg </w:t>
      </w:r>
      <w:r w:rsidR="00464C0B">
        <w:rPr>
          <w:rFonts w:cs="Times New Roman"/>
          <w:b/>
          <w:szCs w:val="24"/>
        </w:rPr>
        <w:t xml:space="preserve">nr. 104 frá 5. September 1988, sum seinast broytt við løgtingslóg nr. 15 frá 16. mars 2015 </w:t>
      </w:r>
      <w:r w:rsidR="00861768" w:rsidRPr="009C65FA">
        <w:rPr>
          <w:rFonts w:cs="Times New Roman"/>
          <w:b/>
          <w:szCs w:val="24"/>
        </w:rPr>
        <w:t>um</w:t>
      </w:r>
      <w:r w:rsidR="00B63C8B">
        <w:rPr>
          <w:rFonts w:cs="Times New Roman"/>
          <w:b/>
          <w:szCs w:val="24"/>
        </w:rPr>
        <w:t xml:space="preserve"> apoteksverkið og heilivág</w:t>
      </w:r>
    </w:p>
    <w:p w:rsidR="00A047C8" w:rsidRPr="009C65FA" w:rsidRDefault="00B63C8B" w:rsidP="0093700D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DE1631">
        <w:rPr>
          <w:rFonts w:cs="Times New Roman"/>
          <w:szCs w:val="24"/>
        </w:rPr>
        <w:t>Heilivágsskrá</w:t>
      </w:r>
      <w:r w:rsidR="00A047C8" w:rsidRPr="009C65FA">
        <w:rPr>
          <w:rFonts w:cs="Times New Roman"/>
          <w:szCs w:val="24"/>
        </w:rPr>
        <w:t>)</w:t>
      </w:r>
    </w:p>
    <w:p w:rsidR="00086403" w:rsidRPr="009C65FA" w:rsidRDefault="00086403" w:rsidP="0093700D">
      <w:pPr>
        <w:spacing w:after="0"/>
        <w:jc w:val="center"/>
        <w:rPr>
          <w:rFonts w:cs="Times New Roman"/>
          <w:szCs w:val="24"/>
        </w:rPr>
      </w:pPr>
    </w:p>
    <w:p w:rsidR="0093700D" w:rsidRPr="009C65FA" w:rsidRDefault="0093700D" w:rsidP="0093700D">
      <w:pPr>
        <w:spacing w:after="0"/>
        <w:rPr>
          <w:rStyle w:val="TypografiKursiv"/>
          <w:rFonts w:cs="Times New Roman"/>
          <w:i w:val="0"/>
        </w:rPr>
      </w:pPr>
    </w:p>
    <w:p w:rsidR="00834A49" w:rsidRPr="009C65FA" w:rsidRDefault="00834A49" w:rsidP="0093700D">
      <w:pPr>
        <w:spacing w:after="0"/>
        <w:rPr>
          <w:rFonts w:cs="Times New Roman"/>
          <w:szCs w:val="24"/>
        </w:rPr>
      </w:pPr>
    </w:p>
    <w:p w:rsidR="004C1845" w:rsidRPr="009C65FA" w:rsidRDefault="004C1845" w:rsidP="0093700D">
      <w:pPr>
        <w:spacing w:after="0"/>
        <w:rPr>
          <w:rFonts w:cs="Times New Roman"/>
          <w:b/>
          <w:szCs w:val="24"/>
        </w:rPr>
        <w:sectPr w:rsidR="004C1845" w:rsidRPr="009C65FA" w:rsidSect="00C8253F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122E0" w:rsidRPr="009C65FA" w:rsidRDefault="00914A2A" w:rsidP="0093700D">
      <w:pPr>
        <w:spacing w:after="0"/>
        <w:jc w:val="center"/>
        <w:rPr>
          <w:rFonts w:cs="Times New Roman"/>
        </w:rPr>
      </w:pPr>
      <w:r w:rsidRPr="009C65FA">
        <w:rPr>
          <w:rStyle w:val="TypografiFed"/>
          <w:rFonts w:cs="Times New Roman"/>
        </w:rPr>
        <w:t>§ 1</w:t>
      </w:r>
    </w:p>
    <w:p w:rsidR="000122E0" w:rsidRPr="009C65FA" w:rsidRDefault="000122E0" w:rsidP="0093700D">
      <w:pPr>
        <w:spacing w:after="0"/>
        <w:rPr>
          <w:rFonts w:cs="Times New Roman"/>
        </w:rPr>
      </w:pPr>
    </w:p>
    <w:p w:rsidR="0093700D" w:rsidRPr="009C65FA" w:rsidRDefault="00B63C8B" w:rsidP="00993911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Í løgtingslóg nr. </w:t>
      </w:r>
      <w:r w:rsidR="00A4618D">
        <w:rPr>
          <w:rFonts w:cs="Times New Roman"/>
        </w:rPr>
        <w:t xml:space="preserve">104 frá 5. </w:t>
      </w:r>
      <w:r w:rsidR="00AF7C7D">
        <w:rPr>
          <w:rFonts w:cs="Times New Roman"/>
        </w:rPr>
        <w:t>s</w:t>
      </w:r>
      <w:r w:rsidR="00A4618D">
        <w:rPr>
          <w:rFonts w:cs="Times New Roman"/>
        </w:rPr>
        <w:t xml:space="preserve">eptember </w:t>
      </w:r>
      <w:r w:rsidR="00A4618D" w:rsidRPr="00AF7C7D">
        <w:rPr>
          <w:rFonts w:cs="Times New Roman"/>
        </w:rPr>
        <w:t>1988, sum broytt við løgtingslóg nr. 54 frá 8. mai 1991</w:t>
      </w:r>
      <w:r w:rsidR="00A4618D">
        <w:rPr>
          <w:rFonts w:cs="Times New Roman"/>
        </w:rPr>
        <w:t xml:space="preserve">, við løgtingslóg nr. 40 frá 6. mai 2014 og við løgtingslóg nr. </w:t>
      </w:r>
      <w:r>
        <w:rPr>
          <w:rFonts w:cs="Times New Roman"/>
        </w:rPr>
        <w:t>15</w:t>
      </w:r>
      <w:r w:rsidR="000122E0" w:rsidRPr="009C65FA">
        <w:rPr>
          <w:rFonts w:cs="Times New Roman"/>
        </w:rPr>
        <w:t xml:space="preserve"> </w:t>
      </w:r>
      <w:r>
        <w:rPr>
          <w:rFonts w:cs="Times New Roman"/>
        </w:rPr>
        <w:t xml:space="preserve">frá 16 mars 2015 um </w:t>
      </w:r>
      <w:r w:rsidR="00AC5490">
        <w:rPr>
          <w:rFonts w:cs="Times New Roman"/>
        </w:rPr>
        <w:t>a</w:t>
      </w:r>
      <w:r w:rsidR="00A4618D">
        <w:rPr>
          <w:rFonts w:cs="Times New Roman"/>
        </w:rPr>
        <w:t>poteksverkið</w:t>
      </w:r>
      <w:r>
        <w:rPr>
          <w:rFonts w:cs="Times New Roman"/>
        </w:rPr>
        <w:t xml:space="preserve"> og heilivág</w:t>
      </w:r>
      <w:r w:rsidR="00B02CAA" w:rsidRPr="009C65FA">
        <w:rPr>
          <w:rFonts w:cs="Times New Roman"/>
        </w:rPr>
        <w:t>,</w:t>
      </w:r>
      <w:r w:rsidR="000122E0" w:rsidRPr="009C65FA">
        <w:rPr>
          <w:rFonts w:cs="Times New Roman"/>
        </w:rPr>
        <w:t xml:space="preserve"> verða gjørdar hesar broytingar:</w:t>
      </w:r>
    </w:p>
    <w:p w:rsidR="0093700D" w:rsidRPr="009C65FA" w:rsidRDefault="0093700D" w:rsidP="00993911">
      <w:pPr>
        <w:spacing w:after="0"/>
        <w:jc w:val="both"/>
        <w:rPr>
          <w:rFonts w:cs="Times New Roman"/>
        </w:rPr>
      </w:pPr>
    </w:p>
    <w:p w:rsidR="002803EA" w:rsidRDefault="002803EA" w:rsidP="00993911">
      <w:pPr>
        <w:pStyle w:val="Listeafsnit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Í § 28 verður </w:t>
      </w:r>
      <w:r w:rsidR="00DE1631">
        <w:rPr>
          <w:rFonts w:cs="Times New Roman"/>
          <w:szCs w:val="24"/>
        </w:rPr>
        <w:t>broytt soljóðandi:</w:t>
      </w:r>
    </w:p>
    <w:p w:rsidR="00AC5490" w:rsidRDefault="00DE1631" w:rsidP="00993911">
      <w:pPr>
        <w:pStyle w:val="Listeafsnit"/>
        <w:spacing w:after="0"/>
        <w:ind w:left="360"/>
        <w:jc w:val="both"/>
        <w:rPr>
          <w:rFonts w:cs="Times New Roman"/>
          <w:szCs w:val="24"/>
        </w:rPr>
      </w:pPr>
      <w:r w:rsidRPr="00DE1631">
        <w:rPr>
          <w:rFonts w:cs="Times New Roman"/>
          <w:szCs w:val="24"/>
        </w:rPr>
        <w:t xml:space="preserve">Reglur um dygd o.a. í </w:t>
      </w:r>
      <w:r w:rsidR="002C737F">
        <w:rPr>
          <w:rFonts w:cs="Times New Roman"/>
          <w:szCs w:val="24"/>
        </w:rPr>
        <w:t xml:space="preserve">føroyskari heilivágsskrá </w:t>
      </w:r>
      <w:r w:rsidRPr="00DE1631">
        <w:rPr>
          <w:rFonts w:cs="Times New Roman"/>
          <w:szCs w:val="24"/>
        </w:rPr>
        <w:t xml:space="preserve">verður at </w:t>
      </w:r>
      <w:r w:rsidR="00AF7C7D" w:rsidRPr="00DE1631">
        <w:rPr>
          <w:rFonts w:cs="Times New Roman"/>
        </w:rPr>
        <w:t xml:space="preserve">skilja </w:t>
      </w:r>
      <w:r w:rsidRPr="00DE1631">
        <w:rPr>
          <w:rFonts w:cs="Times New Roman"/>
        </w:rPr>
        <w:t xml:space="preserve">sum </w:t>
      </w:r>
      <w:r w:rsidR="00AF7C7D" w:rsidRPr="00DE1631">
        <w:rPr>
          <w:rFonts w:cs="Times New Roman"/>
          <w:szCs w:val="24"/>
        </w:rPr>
        <w:t xml:space="preserve">tann </w:t>
      </w:r>
    </w:p>
    <w:p w:rsidR="00AC5490" w:rsidRDefault="00AC5490" w:rsidP="002803EA">
      <w:pPr>
        <w:pStyle w:val="Listeafsnit"/>
        <w:spacing w:after="0"/>
        <w:ind w:left="360"/>
        <w:rPr>
          <w:rFonts w:cs="Times New Roman"/>
          <w:szCs w:val="24"/>
        </w:rPr>
      </w:pPr>
    </w:p>
    <w:p w:rsidR="00AC5490" w:rsidRDefault="00AC5490" w:rsidP="002803EA">
      <w:pPr>
        <w:pStyle w:val="Listeafsnit"/>
        <w:spacing w:after="0"/>
        <w:ind w:left="360"/>
        <w:rPr>
          <w:rFonts w:cs="Times New Roman"/>
          <w:szCs w:val="24"/>
        </w:rPr>
      </w:pPr>
    </w:p>
    <w:p w:rsidR="00AC5490" w:rsidRDefault="00AC5490" w:rsidP="002803EA">
      <w:pPr>
        <w:pStyle w:val="Listeafsnit"/>
        <w:spacing w:after="0"/>
        <w:ind w:left="360"/>
        <w:rPr>
          <w:rFonts w:cs="Times New Roman"/>
          <w:szCs w:val="24"/>
        </w:rPr>
      </w:pPr>
    </w:p>
    <w:p w:rsidR="006932C9" w:rsidRPr="002803EA" w:rsidRDefault="00AF7C7D" w:rsidP="00993911">
      <w:pPr>
        <w:pStyle w:val="Listeafsnit"/>
        <w:spacing w:after="0"/>
        <w:ind w:left="360"/>
        <w:jc w:val="both"/>
        <w:rPr>
          <w:rFonts w:cs="Times New Roman"/>
          <w:szCs w:val="24"/>
        </w:rPr>
      </w:pPr>
      <w:r w:rsidRPr="00DE1631">
        <w:rPr>
          <w:rFonts w:cs="Times New Roman"/>
          <w:szCs w:val="24"/>
        </w:rPr>
        <w:t>til eina og hvørja tíð</w:t>
      </w:r>
      <w:r w:rsidRPr="002803EA">
        <w:rPr>
          <w:rFonts w:cs="Times New Roman"/>
          <w:szCs w:val="24"/>
        </w:rPr>
        <w:t xml:space="preserve"> galdandi útgáva av</w:t>
      </w:r>
      <w:r>
        <w:rPr>
          <w:rFonts w:cs="Times New Roman"/>
        </w:rPr>
        <w:t xml:space="preserve"> Danske Lægemiddelstandarder</w:t>
      </w:r>
      <w:r w:rsidR="00AC5490">
        <w:rPr>
          <w:rFonts w:cs="Times New Roman"/>
        </w:rPr>
        <w:t>.</w:t>
      </w:r>
      <w:r w:rsidRPr="002803EA">
        <w:rPr>
          <w:rFonts w:cs="Times New Roman"/>
          <w:szCs w:val="24"/>
        </w:rPr>
        <w:t xml:space="preserve"> </w:t>
      </w:r>
    </w:p>
    <w:p w:rsidR="00D40776" w:rsidRPr="009C65FA" w:rsidRDefault="00D40776" w:rsidP="00D40776">
      <w:pPr>
        <w:pStyle w:val="Listeafsnit"/>
        <w:spacing w:after="0"/>
        <w:ind w:left="360"/>
        <w:rPr>
          <w:rFonts w:cs="Times New Roman"/>
          <w:szCs w:val="24"/>
        </w:rPr>
      </w:pPr>
      <w:bookmarkStart w:id="0" w:name="_GoBack"/>
      <w:bookmarkEnd w:id="0"/>
    </w:p>
    <w:p w:rsidR="006932C9" w:rsidRPr="003C2C34" w:rsidRDefault="006932C9" w:rsidP="003C2C34">
      <w:pPr>
        <w:spacing w:after="0"/>
        <w:rPr>
          <w:rFonts w:cs="Times New Roman"/>
          <w:szCs w:val="24"/>
        </w:rPr>
      </w:pPr>
    </w:p>
    <w:p w:rsidR="003A312A" w:rsidRPr="003C2C34" w:rsidRDefault="003A312A" w:rsidP="003C2C34">
      <w:pPr>
        <w:spacing w:after="0"/>
        <w:rPr>
          <w:rFonts w:cs="Times New Roman"/>
          <w:szCs w:val="24"/>
        </w:rPr>
      </w:pPr>
    </w:p>
    <w:p w:rsidR="000122E0" w:rsidRPr="009C65FA" w:rsidRDefault="004C1845" w:rsidP="0093700D">
      <w:pPr>
        <w:spacing w:after="0"/>
        <w:jc w:val="center"/>
        <w:rPr>
          <w:rFonts w:cs="Times New Roman"/>
          <w:szCs w:val="24"/>
        </w:rPr>
      </w:pPr>
      <w:r w:rsidRPr="009C65FA">
        <w:rPr>
          <w:rStyle w:val="TypografiFed"/>
          <w:rFonts w:cs="Times New Roman"/>
        </w:rPr>
        <w:t>§ 2</w:t>
      </w:r>
    </w:p>
    <w:p w:rsidR="000122E0" w:rsidRPr="009C65FA" w:rsidRDefault="000122E0" w:rsidP="0093700D">
      <w:pPr>
        <w:spacing w:after="0"/>
        <w:rPr>
          <w:rFonts w:cs="Times New Roman"/>
          <w:szCs w:val="24"/>
        </w:rPr>
      </w:pPr>
    </w:p>
    <w:p w:rsidR="00AC5490" w:rsidRDefault="00AC5490" w:rsidP="0099391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CD0A8C" w:rsidRPr="009C65FA">
        <w:rPr>
          <w:rFonts w:cs="Times New Roman"/>
          <w:szCs w:val="24"/>
        </w:rPr>
        <w:t xml:space="preserve">Henda løgtingslóg kemur í gildi dagin </w:t>
      </w:r>
      <w:r>
        <w:rPr>
          <w:rFonts w:cs="Times New Roman"/>
          <w:szCs w:val="24"/>
        </w:rPr>
        <w:t xml:space="preserve">   </w:t>
      </w:r>
    </w:p>
    <w:p w:rsidR="000E3179" w:rsidRPr="009C65FA" w:rsidRDefault="00AC5490" w:rsidP="0099391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CD0A8C" w:rsidRPr="009C65FA">
        <w:rPr>
          <w:rFonts w:cs="Times New Roman"/>
          <w:szCs w:val="24"/>
        </w:rPr>
        <w:t>eftir, at hon er kunngjørd.</w:t>
      </w:r>
    </w:p>
    <w:p w:rsidR="000E3179" w:rsidRPr="009C65FA" w:rsidRDefault="000E3179" w:rsidP="0093700D">
      <w:pPr>
        <w:spacing w:after="0"/>
        <w:rPr>
          <w:rFonts w:cs="Times New Roman"/>
          <w:szCs w:val="24"/>
        </w:rPr>
      </w:pPr>
    </w:p>
    <w:p w:rsidR="004C1845" w:rsidRPr="009C65FA" w:rsidRDefault="004C1845" w:rsidP="0093700D">
      <w:pPr>
        <w:spacing w:after="0"/>
        <w:rPr>
          <w:rFonts w:cs="Times New Roman"/>
          <w:b/>
          <w:szCs w:val="24"/>
        </w:rPr>
        <w:sectPr w:rsidR="004C1845" w:rsidRPr="009C65FA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834A49" w:rsidRPr="009C65FA" w:rsidRDefault="00834A49" w:rsidP="0093700D">
      <w:pPr>
        <w:spacing w:after="0"/>
        <w:rPr>
          <w:rFonts w:cs="Times New Roman"/>
          <w:szCs w:val="24"/>
        </w:rPr>
      </w:pPr>
    </w:p>
    <w:p w:rsidR="00834A49" w:rsidRPr="009C65FA" w:rsidRDefault="00834A49" w:rsidP="0093700D">
      <w:pPr>
        <w:spacing w:after="0"/>
        <w:rPr>
          <w:rFonts w:cs="Times New Roman"/>
          <w:szCs w:val="24"/>
        </w:rPr>
      </w:pPr>
    </w:p>
    <w:p w:rsidR="00806D41" w:rsidRPr="009C65FA" w:rsidRDefault="00806D41" w:rsidP="0093700D">
      <w:pPr>
        <w:spacing w:after="0"/>
        <w:rPr>
          <w:rFonts w:cs="Times New Roman"/>
          <w:b/>
          <w:szCs w:val="24"/>
        </w:rPr>
        <w:sectPr w:rsidR="00806D41" w:rsidRPr="009C65FA" w:rsidSect="00D229E8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lastRenderedPageBreak/>
        <w:t>Kapittul 1. Almennar viðmerkingar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D25DFB">
      <w:pPr>
        <w:spacing w:after="12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 xml:space="preserve">1.1. </w:t>
      </w:r>
      <w:r w:rsidR="00D10AA3">
        <w:rPr>
          <w:rFonts w:eastAsia="Calibri" w:cs="Times New Roman"/>
          <w:b/>
          <w:szCs w:val="24"/>
        </w:rPr>
        <w:t>Orsa</w:t>
      </w:r>
      <w:r w:rsidRPr="009C65FA">
        <w:rPr>
          <w:rFonts w:eastAsia="Calibri" w:cs="Times New Roman"/>
          <w:b/>
          <w:szCs w:val="24"/>
        </w:rPr>
        <w:t>kir til uppskotið</w:t>
      </w:r>
    </w:p>
    <w:p w:rsidR="00AF4E43" w:rsidRPr="00AF4E43" w:rsidRDefault="00AF4E43" w:rsidP="00D25DFB">
      <w:pPr>
        <w:spacing w:after="120"/>
        <w:jc w:val="both"/>
        <w:rPr>
          <w:rFonts w:eastAsia="Calibri" w:cs="Times New Roman"/>
          <w:szCs w:val="24"/>
        </w:rPr>
      </w:pPr>
      <w:r w:rsidRPr="00AF4E43">
        <w:rPr>
          <w:rFonts w:eastAsia="Calibri" w:cs="Times New Roman"/>
          <w:szCs w:val="24"/>
        </w:rPr>
        <w:t>Talan er um eina broyting, sum er neyðug at gera skjótast gjørligt. Broytingin kemur í staðin fyri kunngerð</w:t>
      </w:r>
      <w:r w:rsidR="00E24AE3">
        <w:rPr>
          <w:rFonts w:eastAsia="Calibri" w:cs="Times New Roman"/>
          <w:szCs w:val="24"/>
        </w:rPr>
        <w:t xml:space="preserve">ir, ið verða lýstar í sambandi við </w:t>
      </w:r>
      <w:r w:rsidRPr="00AF4E43">
        <w:rPr>
          <w:rFonts w:eastAsia="Calibri" w:cs="Times New Roman"/>
          <w:szCs w:val="24"/>
        </w:rPr>
        <w:t xml:space="preserve">dagføringar </w:t>
      </w:r>
      <w:r w:rsidR="00E24AE3">
        <w:rPr>
          <w:rFonts w:eastAsia="Calibri" w:cs="Times New Roman"/>
          <w:szCs w:val="24"/>
        </w:rPr>
        <w:t>av</w:t>
      </w:r>
      <w:r w:rsidRPr="00AF4E43">
        <w:rPr>
          <w:rFonts w:eastAsia="Calibri" w:cs="Times New Roman"/>
          <w:szCs w:val="24"/>
        </w:rPr>
        <w:t xml:space="preserve"> “Danske Lægemiddelstandarder (</w:t>
      </w:r>
      <w:r w:rsidR="00732275">
        <w:rPr>
          <w:rFonts w:eastAsia="Calibri" w:cs="Times New Roman"/>
          <w:szCs w:val="24"/>
        </w:rPr>
        <w:t>danska heilivágsskráin (farmakopéin)</w:t>
      </w:r>
      <w:r w:rsidRPr="00AF4E43">
        <w:rPr>
          <w:rFonts w:eastAsia="Calibri" w:cs="Times New Roman"/>
          <w:szCs w:val="24"/>
        </w:rPr>
        <w:t>)”</w:t>
      </w:r>
      <w:r w:rsidR="00E24AE3">
        <w:rPr>
          <w:rFonts w:eastAsia="Calibri" w:cs="Times New Roman"/>
          <w:szCs w:val="24"/>
        </w:rPr>
        <w:t>. Tað er ikki l</w:t>
      </w:r>
      <w:r w:rsidRPr="00AF4E43">
        <w:rPr>
          <w:rFonts w:eastAsia="Calibri" w:cs="Times New Roman"/>
          <w:szCs w:val="24"/>
        </w:rPr>
        <w:t xml:space="preserve">ongur </w:t>
      </w:r>
      <w:r w:rsidR="00E24AE3">
        <w:rPr>
          <w:rFonts w:eastAsia="Calibri" w:cs="Times New Roman"/>
          <w:szCs w:val="24"/>
        </w:rPr>
        <w:t>møguligt at</w:t>
      </w:r>
      <w:r w:rsidRPr="00AF4E43">
        <w:rPr>
          <w:rFonts w:eastAsia="Calibri" w:cs="Times New Roman"/>
          <w:szCs w:val="24"/>
        </w:rPr>
        <w:t xml:space="preserve"> lýsa</w:t>
      </w:r>
      <w:r w:rsidR="00E24AE3">
        <w:rPr>
          <w:rFonts w:eastAsia="Calibri" w:cs="Times New Roman"/>
          <w:szCs w:val="24"/>
        </w:rPr>
        <w:t xml:space="preserve"> hesar kunngerðir </w:t>
      </w:r>
      <w:r w:rsidRPr="00AF4E43">
        <w:rPr>
          <w:rFonts w:eastAsia="Calibri" w:cs="Times New Roman"/>
          <w:szCs w:val="24"/>
        </w:rPr>
        <w:t>á sama hátt, sum higartil hevur verið gjørt.</w:t>
      </w:r>
    </w:p>
    <w:p w:rsidR="006906A0" w:rsidRDefault="006906A0" w:rsidP="00D25DFB">
      <w:pPr>
        <w:spacing w:after="120"/>
        <w:jc w:val="both"/>
        <w:rPr>
          <w:rFonts w:eastAsia="Calibri" w:cs="Times New Roman"/>
          <w:szCs w:val="24"/>
        </w:rPr>
      </w:pPr>
    </w:p>
    <w:p w:rsidR="009C65FA" w:rsidRPr="009C65FA" w:rsidRDefault="009C65FA" w:rsidP="00D25DFB">
      <w:pPr>
        <w:spacing w:after="12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1.2. Galdandi lóggáva</w:t>
      </w:r>
    </w:p>
    <w:p w:rsidR="00E24AE3" w:rsidRDefault="00E24AE3" w:rsidP="00D25DFB">
      <w:pPr>
        <w:spacing w:after="120"/>
        <w:jc w:val="both"/>
      </w:pPr>
      <w:r>
        <w:t>Ein heilivágsskrá er eitt yvirlit yvir ásetingar viðvíkjandi framleiðslu og nýtslu av heilivág.</w:t>
      </w:r>
    </w:p>
    <w:p w:rsidR="00E24AE3" w:rsidRDefault="00E24AE3" w:rsidP="00D25DFB">
      <w:pPr>
        <w:spacing w:after="120"/>
        <w:jc w:val="both"/>
      </w:pPr>
      <w:r>
        <w:t>Tað er E</w:t>
      </w:r>
      <w:r w:rsidRPr="00FD5FF6">
        <w:t>uropean Directorate of Quality of Medicines (EDQM)</w:t>
      </w:r>
      <w:r>
        <w:t xml:space="preserve">, sum umsitur, mennir og dagførir </w:t>
      </w:r>
      <w:r w:rsidR="00732275">
        <w:t>evropeisku</w:t>
      </w:r>
      <w:r>
        <w:t xml:space="preserve"> heilivágsskránna (Ph. Eur.). Í Danmark er </w:t>
      </w:r>
      <w:r w:rsidR="00732275">
        <w:t>evropeiska heilivágsskráin</w:t>
      </w:r>
      <w:r>
        <w:t xml:space="preserve"> grundarlag undir nationalu heilivágsskránni, sum eitur Danske Lægemiddelstandarder (DLS). D</w:t>
      </w:r>
      <w:r w:rsidR="00732275">
        <w:t>anske Lægemiddelstandarder</w:t>
      </w:r>
      <w:r>
        <w:t xml:space="preserve"> inniheldur, umframt allar ásetingar í </w:t>
      </w:r>
      <w:r w:rsidR="00732275">
        <w:t>evropeisku heilivágsskránni</w:t>
      </w:r>
      <w:r>
        <w:t>, eisini einstakar aðrar ásetingar, sum eru galdandi fyri heilivág í Danmark. D</w:t>
      </w:r>
      <w:r w:rsidR="00732275">
        <w:t xml:space="preserve">ansk </w:t>
      </w:r>
      <w:r>
        <w:t>L</w:t>
      </w:r>
      <w:r w:rsidR="00732275">
        <w:t>ægemiddelstandard</w:t>
      </w:r>
      <w:r>
        <w:t xml:space="preserve"> verður sett í gildi við kunngerð</w:t>
      </w:r>
      <w:r>
        <w:rPr>
          <w:rStyle w:val="Fodnotehenvisning"/>
        </w:rPr>
        <w:footnoteReference w:id="1"/>
      </w:r>
      <w:r>
        <w:t>, sum verður dagførd umleið 3 ferðir um árið.</w:t>
      </w:r>
    </w:p>
    <w:p w:rsidR="009C65FA" w:rsidRPr="00AC5490" w:rsidRDefault="00E24AE3" w:rsidP="00D25DFB">
      <w:pPr>
        <w:spacing w:after="120"/>
        <w:jc w:val="both"/>
        <w:rPr>
          <w:rFonts w:eastAsia="Calibri" w:cs="Times New Roman"/>
          <w:szCs w:val="24"/>
        </w:rPr>
      </w:pPr>
      <w:r>
        <w:t xml:space="preserve">Eisini í Føroyum verður </w:t>
      </w:r>
      <w:r w:rsidR="00732275">
        <w:t>evropeiska heilivágsskráin</w:t>
      </w:r>
      <w:r>
        <w:t xml:space="preserve"> fylgd. Síðani núverandi apotekslóg</w:t>
      </w:r>
      <w:r>
        <w:rPr>
          <w:rStyle w:val="Fodnotehenvisning"/>
        </w:rPr>
        <w:footnoteReference w:id="2"/>
      </w:r>
      <w:r>
        <w:t xml:space="preserve"> kom í gildi í 1. januar 1989, hevur ásetingin av føroyskari heilvágsskrá verið gjørd við, </w:t>
      </w:r>
      <w:r w:rsidR="00B079ED">
        <w:t xml:space="preserve">at tað </w:t>
      </w:r>
      <w:r>
        <w:t xml:space="preserve">í kunngerð, </w:t>
      </w:r>
      <w:r w:rsidR="00B079ED">
        <w:t>verður</w:t>
      </w:r>
      <w:r>
        <w:t xml:space="preserve"> vís</w:t>
      </w:r>
      <w:r w:rsidR="00B079ED">
        <w:t>t</w:t>
      </w:r>
      <w:r>
        <w:t xml:space="preserve"> til skiftandi útgávur av ávikavist </w:t>
      </w:r>
      <w:r w:rsidR="00732275">
        <w:t>evropeisku heilivágsskránni</w:t>
      </w:r>
      <w:r>
        <w:t xml:space="preserve"> og D</w:t>
      </w:r>
      <w:r w:rsidR="00732275">
        <w:t xml:space="preserve">ansk </w:t>
      </w:r>
      <w:r>
        <w:t>L</w:t>
      </w:r>
      <w:r w:rsidR="00732275">
        <w:t>ægemiddelstandard</w:t>
      </w:r>
      <w:r>
        <w:t>. Síðani 2010</w:t>
      </w:r>
      <w:r>
        <w:rPr>
          <w:rStyle w:val="Fodnotehenvisning"/>
        </w:rPr>
        <w:footnoteReference w:id="3"/>
      </w:r>
      <w:r>
        <w:t xml:space="preserve"> hevur kunngerðin bert víst til ávísa útgávu av D</w:t>
      </w:r>
      <w:r w:rsidR="00732275">
        <w:t xml:space="preserve">ansk </w:t>
      </w:r>
      <w:r>
        <w:t>L</w:t>
      </w:r>
      <w:r w:rsidR="00732275">
        <w:t>ægemiddelstandard</w:t>
      </w:r>
      <w:r>
        <w:t>. Seinastu ferð føroyska heilivágsskráin varð dagførd var í 2015</w:t>
      </w:r>
      <w:r>
        <w:rPr>
          <w:rStyle w:val="Fodnotehenvisning"/>
        </w:rPr>
        <w:footnoteReference w:id="4"/>
      </w:r>
      <w:r>
        <w:t xml:space="preserve">. Í kunngerð nr. 5/2015 um heilivágsskrá og fyrimyndarreglur fyri heilivág stendur í § 1: </w:t>
      </w:r>
      <w:r w:rsidRPr="00993911">
        <w:rPr>
          <w:rStyle w:val="CitatTegn"/>
          <w:color w:val="auto"/>
        </w:rPr>
        <w:t>“Við føroyska farmakopé er at skilja Danske Lægemiddelstandarder 2015.0.”</w:t>
      </w:r>
    </w:p>
    <w:p w:rsidR="009C65FA" w:rsidRPr="009C65FA" w:rsidRDefault="009C65FA" w:rsidP="00D25DFB">
      <w:pPr>
        <w:spacing w:after="12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D25DFB">
      <w:pPr>
        <w:spacing w:after="12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1.3. Endamálið við uppskotinum</w:t>
      </w:r>
    </w:p>
    <w:p w:rsidR="00732275" w:rsidRDefault="00D25DFB" w:rsidP="00D25DFB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Endamálið við uppskotinum </w:t>
      </w:r>
      <w:r w:rsidR="00732275">
        <w:rPr>
          <w:rFonts w:eastAsia="Calibri" w:cs="Times New Roman"/>
          <w:szCs w:val="24"/>
        </w:rPr>
        <w:t>er at fáa eina áseting í lógina um apoteksverkið og heilivág, um at tann til eina og hvørja tíð í Danmark galdandi útgávan av Danske Lægemiddelstandarder er at skilja sum “føroysk heilivágsskrá”.</w:t>
      </w:r>
    </w:p>
    <w:p w:rsidR="00D25DFB" w:rsidRPr="00D25DFB" w:rsidRDefault="00D25DFB" w:rsidP="00D25DFB">
      <w:pPr>
        <w:spacing w:after="120"/>
        <w:jc w:val="both"/>
        <w:rPr>
          <w:rFonts w:eastAsia="Calibri" w:cs="Times New Roman"/>
          <w:szCs w:val="24"/>
        </w:rPr>
      </w:pPr>
      <w:r w:rsidRPr="00D25DFB">
        <w:rPr>
          <w:rFonts w:eastAsia="Calibri" w:cs="Times New Roman"/>
          <w:szCs w:val="24"/>
        </w:rPr>
        <w:t xml:space="preserve">Mannagongdin í sambandi við lýsing av omanfyrinevndu kunngerðum er broytt soleiðis, at Danske Lægemiddelstandarder (tvs. </w:t>
      </w:r>
      <w:r>
        <w:rPr>
          <w:rFonts w:eastAsia="Calibri" w:cs="Times New Roman"/>
          <w:szCs w:val="24"/>
        </w:rPr>
        <w:t>samlaða heilivágsskráin</w:t>
      </w:r>
      <w:r w:rsidRPr="00D25DFB">
        <w:rPr>
          <w:rFonts w:eastAsia="Calibri" w:cs="Times New Roman"/>
          <w:szCs w:val="24"/>
        </w:rPr>
        <w:t>) skal leggjast við kunngerðini. Talan er um sera rúgvismikið tilfar upp á fleiri túsund síður.</w:t>
      </w:r>
      <w:r>
        <w:rPr>
          <w:rFonts w:eastAsia="Calibri" w:cs="Times New Roman"/>
          <w:szCs w:val="24"/>
        </w:rPr>
        <w:t xml:space="preserve"> Eisini er talan um sera tekniskt tilfar, sum einans fakfólk sum arbeiða við tilfarinum skilja.</w:t>
      </w:r>
    </w:p>
    <w:p w:rsidR="00D25DFB" w:rsidRPr="00D25DFB" w:rsidRDefault="00D25DFB" w:rsidP="00D25DFB">
      <w:pPr>
        <w:spacing w:after="120"/>
        <w:jc w:val="both"/>
        <w:rPr>
          <w:rFonts w:eastAsia="Calibri" w:cs="Times New Roman"/>
          <w:szCs w:val="24"/>
        </w:rPr>
      </w:pPr>
      <w:r w:rsidRPr="00D25DFB">
        <w:rPr>
          <w:rFonts w:eastAsia="Calibri" w:cs="Times New Roman"/>
          <w:szCs w:val="24"/>
        </w:rPr>
        <w:t xml:space="preserve">Í samskifti við Lógartænastuna um málið, varð semja um, at besta loysnin er at </w:t>
      </w:r>
      <w:r>
        <w:rPr>
          <w:rFonts w:eastAsia="Calibri" w:cs="Times New Roman"/>
          <w:szCs w:val="24"/>
        </w:rPr>
        <w:t>fáa eina áseting í lógina</w:t>
      </w:r>
      <w:r w:rsidRPr="00D25DFB">
        <w:rPr>
          <w:rFonts w:eastAsia="Calibri" w:cs="Times New Roman"/>
          <w:szCs w:val="24"/>
        </w:rPr>
        <w:t xml:space="preserve"> um apoteksverkið og heili</w:t>
      </w:r>
      <w:r>
        <w:rPr>
          <w:rFonts w:eastAsia="Calibri" w:cs="Times New Roman"/>
          <w:szCs w:val="24"/>
        </w:rPr>
        <w:t>vág, ístaðin fyri at lýsa eina</w:t>
      </w:r>
      <w:r w:rsidRPr="00D25DFB">
        <w:rPr>
          <w:rFonts w:eastAsia="Calibri" w:cs="Times New Roman"/>
          <w:szCs w:val="24"/>
        </w:rPr>
        <w:t xml:space="preserve"> kunngerð hvørja ferð Danske Lægemiddelstandarder verða dagførdir.</w:t>
      </w:r>
    </w:p>
    <w:p w:rsidR="00D25DFB" w:rsidRDefault="00D25DFB" w:rsidP="00D25DFB">
      <w:pPr>
        <w:spacing w:after="120"/>
        <w:jc w:val="both"/>
        <w:rPr>
          <w:rFonts w:eastAsia="Calibri" w:cs="Times New Roman"/>
          <w:szCs w:val="24"/>
        </w:rPr>
      </w:pPr>
    </w:p>
    <w:p w:rsidR="00B05885" w:rsidRDefault="00B05885" w:rsidP="00D25DFB">
      <w:pPr>
        <w:spacing w:after="120"/>
        <w:rPr>
          <w:rFonts w:eastAsia="Calibri" w:cs="Times New Roman"/>
          <w:b/>
          <w:szCs w:val="24"/>
        </w:rPr>
      </w:pPr>
    </w:p>
    <w:p w:rsidR="009C65FA" w:rsidRPr="009C65FA" w:rsidRDefault="009C65FA" w:rsidP="00D25DFB">
      <w:pPr>
        <w:spacing w:after="12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lastRenderedPageBreak/>
        <w:t>1.4. Samandráttur av nýskipanini við uppskotinum</w:t>
      </w:r>
    </w:p>
    <w:p w:rsidR="009C65FA" w:rsidRPr="009C65FA" w:rsidRDefault="00214EE0" w:rsidP="00D25DFB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Uppskotið hevur við sær at ásett verður í lógini um apoteksverkið og heilivág, at tann til eina og hvørja tíð í Danmark galdandi heilivágsskrá, eisini er galdandi sambært lógini um apoteksverkið og heilivág. Hetta í staðin fyri at lýsa dagføringar í kunngerð umleið 3 ferðir um árið, við sera rúgvismiklum og tekniskum tilfari. </w:t>
      </w:r>
    </w:p>
    <w:p w:rsidR="009C65FA" w:rsidRPr="009C65FA" w:rsidRDefault="009C65FA" w:rsidP="00D25DFB">
      <w:pPr>
        <w:spacing w:after="12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D25DFB">
      <w:pPr>
        <w:spacing w:after="12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1.5. Ummæli og ummælisskjal</w:t>
      </w:r>
    </w:p>
    <w:p w:rsidR="009C65FA" w:rsidRDefault="00BA302F" w:rsidP="00D25DFB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</w:t>
      </w:r>
      <w:r w:rsidR="00CA22C1">
        <w:rPr>
          <w:rFonts w:eastAsia="Calibri" w:cs="Times New Roman"/>
          <w:szCs w:val="24"/>
        </w:rPr>
        <w:t xml:space="preserve">andsapotekarin </w:t>
      </w:r>
    </w:p>
    <w:p w:rsidR="00863B1D" w:rsidRDefault="00863B1D" w:rsidP="00D25DFB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PhamraDanmark</w:t>
      </w:r>
    </w:p>
    <w:p w:rsidR="00863B1D" w:rsidRPr="00CA22C1" w:rsidRDefault="00863B1D" w:rsidP="00D25DFB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Farmakonomforeningen</w:t>
      </w:r>
    </w:p>
    <w:p w:rsidR="00CA22C1" w:rsidRDefault="00CA22C1" w:rsidP="00D25DFB">
      <w:pPr>
        <w:spacing w:after="120"/>
        <w:jc w:val="both"/>
        <w:rPr>
          <w:rFonts w:ascii="Muli" w:hAnsi="Muli" w:cs="Segoe UI"/>
        </w:rPr>
      </w:pPr>
    </w:p>
    <w:p w:rsidR="00C9686D" w:rsidRPr="009C65FA" w:rsidRDefault="00C9686D" w:rsidP="00D25DFB">
      <w:pPr>
        <w:spacing w:after="120"/>
        <w:jc w:val="both"/>
        <w:rPr>
          <w:rFonts w:eastAsia="Calibri" w:cs="Times New Roman"/>
          <w:szCs w:val="24"/>
        </w:rPr>
      </w:pPr>
    </w:p>
    <w:p w:rsidR="009C65FA" w:rsidRPr="009C65FA" w:rsidRDefault="009C65FA" w:rsidP="00D25DFB">
      <w:pPr>
        <w:spacing w:after="120"/>
        <w:jc w:val="both"/>
        <w:rPr>
          <w:rFonts w:eastAsia="Calibri" w:cs="Times New Roman"/>
          <w:szCs w:val="24"/>
        </w:rPr>
      </w:pPr>
      <w:r w:rsidRPr="009C65FA">
        <w:rPr>
          <w:rFonts w:eastAsia="Calibri" w:cs="Times New Roman"/>
          <w:szCs w:val="24"/>
        </w:rPr>
        <w:br w:type="page"/>
      </w: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lastRenderedPageBreak/>
        <w:t>Kapittul 2. Avleiðingarnar av uppskotinum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2.1. Fíggjarligar avleiðingar fyri land og kommunur</w:t>
      </w:r>
    </w:p>
    <w:p w:rsidR="00214EE0" w:rsidRPr="00214EE0" w:rsidRDefault="00214EE0" w:rsidP="00214EE0">
      <w:pPr>
        <w:spacing w:after="0"/>
        <w:jc w:val="both"/>
        <w:rPr>
          <w:rFonts w:eastAsia="Calibri" w:cs="Times New Roman"/>
          <w:szCs w:val="24"/>
        </w:rPr>
      </w:pPr>
      <w:r w:rsidRPr="00214EE0">
        <w:rPr>
          <w:rFonts w:eastAsia="Calibri" w:cs="Times New Roman"/>
          <w:szCs w:val="24"/>
        </w:rPr>
        <w:t>Broytingaruppskotið hevur ongar fíggjarligar avleiðingar.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2.2. Umsitingarligar avleiðingar fyri land og kommunur</w:t>
      </w:r>
    </w:p>
    <w:p w:rsidR="009C65FA" w:rsidRPr="009C65FA" w:rsidRDefault="00214EE0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Ásetingin í lógini hevur við sær, at tað ikki longur verður neyðugt at lýsa kunngerðir, í sambandi við dagføringar av Danske Lægemiddelstandarder</w:t>
      </w:r>
      <w:r w:rsidR="00AC5490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umleið 3 ferðir um árið.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2.3. Avleiðingar fyri vinnuna</w:t>
      </w:r>
    </w:p>
    <w:p w:rsidR="009C65FA" w:rsidRPr="009C65FA" w:rsidRDefault="00214EE0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</w:t>
      </w:r>
      <w:r w:rsidR="009C65FA" w:rsidRPr="009C65FA">
        <w:rPr>
          <w:rFonts w:eastAsia="Calibri" w:cs="Times New Roman"/>
          <w:szCs w:val="24"/>
        </w:rPr>
        <w:t>ppskotið</w:t>
      </w:r>
      <w:r>
        <w:rPr>
          <w:rFonts w:eastAsia="Calibri" w:cs="Times New Roman"/>
          <w:szCs w:val="24"/>
        </w:rPr>
        <w:t xml:space="preserve"> hevur</w:t>
      </w:r>
      <w:r w:rsidR="009C65FA" w:rsidRPr="009C65FA">
        <w:rPr>
          <w:rFonts w:eastAsia="Calibri" w:cs="Times New Roman"/>
          <w:szCs w:val="24"/>
        </w:rPr>
        <w:t xml:space="preserve"> ongar fíggjarligar ella umsitingarligar avleiðingar fyri vinnuna.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2.4. Avleiðingar fyri umhvørvið</w:t>
      </w:r>
    </w:p>
    <w:p w:rsidR="009C65FA" w:rsidRPr="009C65FA" w:rsidRDefault="00214EE0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</w:t>
      </w:r>
      <w:r w:rsidR="009C65FA" w:rsidRPr="009C65FA">
        <w:rPr>
          <w:rFonts w:eastAsia="Calibri" w:cs="Times New Roman"/>
          <w:szCs w:val="24"/>
        </w:rPr>
        <w:t>ppskotið hevur ongar avleiðingar fyri umhvørvið.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2.5. Avleiðingar fyri serstøk øki í landinum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</w:t>
      </w:r>
      <w:r w:rsidR="009C65FA" w:rsidRPr="009C65FA">
        <w:rPr>
          <w:rFonts w:eastAsia="Calibri" w:cs="Times New Roman"/>
          <w:szCs w:val="24"/>
        </w:rPr>
        <w:t xml:space="preserve">ppskotið </w:t>
      </w:r>
      <w:r>
        <w:rPr>
          <w:rFonts w:eastAsia="Calibri" w:cs="Times New Roman"/>
          <w:szCs w:val="24"/>
        </w:rPr>
        <w:t xml:space="preserve">hevur </w:t>
      </w:r>
      <w:r w:rsidR="009C65FA" w:rsidRPr="009C65FA">
        <w:rPr>
          <w:rFonts w:eastAsia="Calibri" w:cs="Times New Roman"/>
          <w:szCs w:val="24"/>
        </w:rPr>
        <w:t>ikki serligar fíggjarligar, umsitingarligar, umhvørvisligar ella sosialar avleiðingar fyri serstøk øki í landinum.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2.6. Avleiðingar fyri ávísar samfelagsbólkar ella felagsskapir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</w:t>
      </w:r>
      <w:r w:rsidR="009C65FA" w:rsidRPr="009C65FA">
        <w:rPr>
          <w:rFonts w:eastAsia="Calibri" w:cs="Times New Roman"/>
          <w:szCs w:val="24"/>
        </w:rPr>
        <w:t xml:space="preserve">ppskotið </w:t>
      </w:r>
      <w:r>
        <w:rPr>
          <w:rFonts w:eastAsia="Calibri" w:cs="Times New Roman"/>
          <w:szCs w:val="24"/>
        </w:rPr>
        <w:t xml:space="preserve">hevur </w:t>
      </w:r>
      <w:r w:rsidR="009C65FA" w:rsidRPr="009C65FA">
        <w:rPr>
          <w:rFonts w:eastAsia="Calibri" w:cs="Times New Roman"/>
          <w:szCs w:val="24"/>
        </w:rPr>
        <w:t>ikki avleiðingar fyri ávísar samfelagsbólkar ella felagsskapir.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2.7. Millumtjóðasáttmálar á økinum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</w:t>
      </w:r>
      <w:r w:rsidR="009C65FA" w:rsidRPr="009C65FA">
        <w:rPr>
          <w:rFonts w:eastAsia="Calibri" w:cs="Times New Roman"/>
          <w:szCs w:val="24"/>
        </w:rPr>
        <w:t xml:space="preserve">illumtjóðasáttmálar ikki eru á økinum, </w:t>
      </w:r>
      <w:r>
        <w:rPr>
          <w:rFonts w:eastAsia="Calibri" w:cs="Times New Roman"/>
          <w:szCs w:val="24"/>
        </w:rPr>
        <w:t xml:space="preserve">og </w:t>
      </w:r>
      <w:r w:rsidR="009C65FA" w:rsidRPr="009C65FA">
        <w:rPr>
          <w:rFonts w:eastAsia="Calibri" w:cs="Times New Roman"/>
          <w:szCs w:val="24"/>
        </w:rPr>
        <w:t>uppskotið fær</w:t>
      </w:r>
      <w:r>
        <w:rPr>
          <w:rFonts w:eastAsia="Calibri" w:cs="Times New Roman"/>
          <w:szCs w:val="24"/>
        </w:rPr>
        <w:t xml:space="preserve"> ikki</w:t>
      </w:r>
      <w:r w:rsidR="009C65FA" w:rsidRPr="009C65FA">
        <w:rPr>
          <w:rFonts w:eastAsia="Calibri" w:cs="Times New Roman"/>
          <w:szCs w:val="24"/>
        </w:rPr>
        <w:t xml:space="preserve"> fíggjarligar, umsitingarligar, umhvørvisligar ella aðrar avleiðingar</w:t>
      </w:r>
      <w:r>
        <w:rPr>
          <w:rFonts w:eastAsia="Calibri" w:cs="Times New Roman"/>
          <w:szCs w:val="24"/>
        </w:rPr>
        <w:t xml:space="preserve"> fyri millumtjóðasáttmálar</w:t>
      </w:r>
      <w:r w:rsidR="009C65FA" w:rsidRPr="009C65FA">
        <w:rPr>
          <w:rFonts w:eastAsia="Calibri" w:cs="Times New Roman"/>
          <w:szCs w:val="24"/>
        </w:rPr>
        <w:t>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2.8. Tvørgangandi millumtjóðasáttmálar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Uppskotið er ikki viðkomandi fyri tvørgangandi </w:t>
      </w:r>
      <w:r w:rsidR="009C65FA" w:rsidRPr="009C65FA">
        <w:rPr>
          <w:rFonts w:eastAsia="Calibri" w:cs="Times New Roman"/>
          <w:szCs w:val="24"/>
        </w:rPr>
        <w:t>millumtjóða</w:t>
      </w:r>
      <w:r w:rsidR="009C65FA" w:rsidRPr="009C65FA">
        <w:rPr>
          <w:rFonts w:eastAsia="Calibri" w:cs="Times New Roman"/>
          <w:szCs w:val="24"/>
        </w:rPr>
        <w:softHyphen/>
        <w:t>sáttmálar.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2.9. Markaforðingar</w:t>
      </w:r>
    </w:p>
    <w:p w:rsidR="009C65FA" w:rsidRPr="009C65FA" w:rsidRDefault="00EB21D2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DD0D95">
        <w:rPr>
          <w:rFonts w:eastAsia="Calibri" w:cs="Times New Roman"/>
          <w:szCs w:val="24"/>
        </w:rPr>
        <w:t>kki viðkomandi</w:t>
      </w:r>
      <w:r w:rsidR="009C65FA" w:rsidRPr="009C65FA">
        <w:rPr>
          <w:rFonts w:eastAsia="Calibri" w:cs="Times New Roman"/>
          <w:szCs w:val="24"/>
        </w:rPr>
        <w:t>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2.10. Revsing, fyrisitingarligar sektir, pantiheimildir ella onnur størri inntriv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Ikki viðkomandi.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2.11. Skattir og avgjøld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Ikki viðkomandi.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2.12. Gjøld</w:t>
      </w:r>
    </w:p>
    <w:p w:rsidR="009C65FA" w:rsidRPr="009C65FA" w:rsidRDefault="00DD0D95" w:rsidP="009C65FA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Ikki viðkomandi.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2.13. Áleggur lógaruppskotið likamligum ella løgfrøðiligum persónum skyldur?</w:t>
      </w:r>
    </w:p>
    <w:p w:rsidR="009C65FA" w:rsidRDefault="00DD0D9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Ikki viðkomandi.</w:t>
      </w:r>
    </w:p>
    <w:p w:rsidR="00DD0D95" w:rsidRPr="009C65FA" w:rsidRDefault="00DD0D95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2.14. Leggur lógaruppskotið heimildir til landsstýrismannin, ein stovn undir landsstýrinum ella til kommunur?</w:t>
      </w:r>
    </w:p>
    <w:p w:rsidR="009C65FA" w:rsidRPr="009C65FA" w:rsidRDefault="00B05885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Nei 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lastRenderedPageBreak/>
        <w:t>2.15. Gevur lógaruppskotið almennum myndugleikum atgongd til privata ogn?</w:t>
      </w:r>
    </w:p>
    <w:p w:rsidR="009C65FA" w:rsidRPr="009C65FA" w:rsidRDefault="00EB21D2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Nei.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2.16. Hevur lógaruppskotið aðrar avleiðingar?</w:t>
      </w:r>
    </w:p>
    <w:p w:rsidR="009C65FA" w:rsidRPr="009C65FA" w:rsidRDefault="00EB21D2" w:rsidP="009C65FA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Nei.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2.17. Talvan: Yvirlit yvir avleiðingarnar av lógaruppskotinum</w:t>
      </w:r>
    </w:p>
    <w:p w:rsidR="009C65FA" w:rsidRPr="009C65FA" w:rsidRDefault="009C65FA" w:rsidP="009C65FA">
      <w:pPr>
        <w:spacing w:after="0"/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5FA" w:rsidRPr="009C65FA" w:rsidRDefault="009C65FA" w:rsidP="009C65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Fyri landið ella landsmyndug-leikar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Fyri kommunalar myndugleikar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Fyri pláss ella øki í landinum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Fyri ávísar samfelags-bólkar ella felagsskapir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Fyri vinnuna</w:t>
            </w:r>
          </w:p>
        </w:tc>
      </w:tr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Fíggjarligar ella búskaparligar avleiðingar</w:t>
            </w:r>
          </w:p>
        </w:tc>
        <w:sdt>
          <w:sdtPr>
            <w:rPr>
              <w:bCs/>
              <w:sz w:val="20"/>
              <w:szCs w:val="20"/>
            </w:rPr>
            <w:id w:val="1109551800"/>
            <w:placeholder>
              <w:docPart w:val="C89AD6CB67D340D2AA0FFC99A2A3923B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9C65FA" w:rsidP="00534FEE">
                <w:pPr>
                  <w:jc w:val="center"/>
                  <w:rPr>
                    <w:bCs/>
                    <w:szCs w:val="20"/>
                  </w:rPr>
                </w:pPr>
                <w:r w:rsidRPr="009C65FA"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20371911"/>
            <w:placeholder>
              <w:docPart w:val="2C99B8BD81E2414F95A63A084EDCB360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534FEE" w:rsidP="009C65F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001774417"/>
            <w:placeholder>
              <w:docPart w:val="F47C087FB8894FDA882EF1FE1CE847F3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722052874"/>
            <w:placeholder>
              <w:docPart w:val="2D7E6CFEB6104370B4F2956DE05FDE6F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212457157"/>
            <w:placeholder>
              <w:docPart w:val="DD3282A3FC7246449A1C5C99E969C27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Umsitingarligar avleiðingar</w:t>
            </w:r>
          </w:p>
        </w:tc>
        <w:sdt>
          <w:sdtPr>
            <w:rPr>
              <w:sz w:val="20"/>
            </w:rPr>
            <w:id w:val="463475165"/>
            <w:placeholder>
              <w:docPart w:val="11510BF44F954275AEE7689448AE350B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9C65FA" w:rsidP="00534FEE">
                <w:pPr>
                  <w:jc w:val="center"/>
                  <w:rPr>
                    <w:sz w:val="20"/>
                  </w:rPr>
                </w:pPr>
                <w:r w:rsidRPr="009C65FA">
                  <w:rPr>
                    <w:sz w:val="20"/>
                  </w:rPr>
                  <w:t>Ja</w:t>
                </w:r>
              </w:p>
            </w:tc>
          </w:sdtContent>
        </w:sdt>
        <w:sdt>
          <w:sdtPr>
            <w:rPr>
              <w:sz w:val="20"/>
            </w:rPr>
            <w:id w:val="193965219"/>
            <w:placeholder>
              <w:docPart w:val="2A4D9B2E00B64EAAAE2E19792AF5DAD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534FEE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732535479"/>
            <w:placeholder>
              <w:docPart w:val="C6A45F8E62784DAB9DC43613F955AD7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247317771"/>
            <w:placeholder>
              <w:docPart w:val="8D0DB49103054C2AAFF1E6DA48B64F2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937699706"/>
            <w:placeholder>
              <w:docPart w:val="28568451DB464880B13A0811029CC17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Umhvørvisligar avleiðingar</w:t>
            </w:r>
          </w:p>
        </w:tc>
        <w:sdt>
          <w:sdtPr>
            <w:rPr>
              <w:sz w:val="20"/>
            </w:rPr>
            <w:id w:val="-1105500463"/>
            <w:placeholder>
              <w:docPart w:val="AFB465CD07AC43CF8FB1C473283CCA81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9C65FA" w:rsidP="009C65FA">
                <w:pPr>
                  <w:jc w:val="center"/>
                  <w:rPr>
                    <w:sz w:val="20"/>
                  </w:rPr>
                </w:pPr>
                <w:r w:rsidRPr="009C65FA"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69170381"/>
            <w:placeholder>
              <w:docPart w:val="5417B3A2477048CEBCEDD5469A5B00B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69403764"/>
            <w:placeholder>
              <w:docPart w:val="B4C2F38D48A54E0884AFFD521B7A0F73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56685929"/>
            <w:placeholder>
              <w:docPart w:val="CAA02E205F60438C8C222C1C23845F8B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671832337"/>
            <w:placeholder>
              <w:docPart w:val="60369044C5BF4BDBBED18EB89BD773B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Avleiðingar í mun til altjóða avtalur og reglur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230A00" w:rsidP="009C65F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68680227"/>
                <w:placeholder>
                  <w:docPart w:val="CFE906EC3F4743ADAD04B515BB78F9CC"/>
                </w:placeholder>
                <w:comboBox>
                  <w:listItem w:displayText="Ja" w:value="Ja"/>
                  <w:listItem w:displayText="Nei" w:value="Nei"/>
                </w:comboBox>
              </w:sdtPr>
              <w:sdtEndPr/>
              <w:sdtContent>
                <w:r w:rsidR="00534FEE">
                  <w:rPr>
                    <w:sz w:val="20"/>
                  </w:rPr>
                  <w:t>Nei</w:t>
                </w:r>
              </w:sdtContent>
            </w:sdt>
          </w:p>
        </w:tc>
        <w:sdt>
          <w:sdtPr>
            <w:rPr>
              <w:sz w:val="20"/>
            </w:rPr>
            <w:id w:val="-613131601"/>
            <w:placeholder>
              <w:docPart w:val="49D580AB2B294FD2AD969A1F65580508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36996114"/>
            <w:placeholder>
              <w:docPart w:val="C93B51D6E3C748B7A37F73F27116F51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69521836"/>
            <w:placeholder>
              <w:docPart w:val="6C49656303854ED19F571FE9274FAE6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905216052"/>
            <w:placeholder>
              <w:docPart w:val="1BB2A2072E124223BA84AB6783A8946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9C65FA" w:rsidRPr="009C65FA" w:rsidTr="009C65FA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5FA" w:rsidRPr="009C65FA" w:rsidRDefault="009C65FA" w:rsidP="009C65FA">
            <w:pPr>
              <w:rPr>
                <w:sz w:val="20"/>
              </w:rPr>
            </w:pPr>
            <w:r w:rsidRPr="009C65FA">
              <w:rPr>
                <w:sz w:val="20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C65FA" w:rsidRPr="009C65FA" w:rsidRDefault="009C65FA" w:rsidP="009C65FA">
            <w:pPr>
              <w:jc w:val="center"/>
              <w:rPr>
                <w:b/>
                <w:bCs/>
                <w:szCs w:val="20"/>
              </w:rPr>
            </w:pPr>
          </w:p>
        </w:tc>
        <w:sdt>
          <w:sdtPr>
            <w:rPr>
              <w:sz w:val="20"/>
            </w:rPr>
            <w:id w:val="-1092471004"/>
            <w:placeholder>
              <w:docPart w:val="A957021A39E142EB8735EECF7ADB0588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251424783"/>
            <w:placeholder>
              <w:docPart w:val="15640E0E202D4E10B0A5787734B48E14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9C65FA" w:rsidRPr="009C65FA" w:rsidRDefault="00EB21D2" w:rsidP="009C65FA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C65FA" w:rsidRPr="009C65FA" w:rsidRDefault="009C65FA" w:rsidP="009C65FA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9C65FA" w:rsidRPr="009C65FA" w:rsidRDefault="009C65FA" w:rsidP="009C65FA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:rsidR="009C65FA" w:rsidRPr="009C65FA" w:rsidRDefault="009C65FA" w:rsidP="009C65FA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:rsidR="009C65FA" w:rsidRPr="009C65FA" w:rsidRDefault="009C65FA" w:rsidP="009C65FA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 w:rsidRPr="009C65FA">
        <w:rPr>
          <w:rFonts w:eastAsia="Times New Roman" w:cs="Times New Roman"/>
          <w:b/>
          <w:bCs/>
          <w:color w:val="000000"/>
          <w:szCs w:val="26"/>
        </w:rPr>
        <w:br w:type="page"/>
      </w:r>
    </w:p>
    <w:p w:rsidR="009C65FA" w:rsidRPr="009C65FA" w:rsidRDefault="009C65FA" w:rsidP="009C65FA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 w:rsidRPr="009C65FA">
        <w:rPr>
          <w:rFonts w:eastAsia="Times New Roman" w:cs="Times New Roman"/>
          <w:b/>
          <w:bCs/>
          <w:color w:val="000000"/>
          <w:szCs w:val="26"/>
        </w:rPr>
        <w:lastRenderedPageBreak/>
        <w:t xml:space="preserve">Kapittul 3. </w:t>
      </w:r>
      <w:r w:rsidRPr="009C65FA">
        <w:rPr>
          <w:rFonts w:eastAsia="Calibri" w:cs="Times New Roman"/>
          <w:b/>
        </w:rPr>
        <w:t>Serligar viðmerkingar</w:t>
      </w: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3.1. Viðmerkingar til ta einstøku grein</w:t>
      </w:r>
      <w:r w:rsidR="0074478D">
        <w:rPr>
          <w:rFonts w:eastAsia="Calibri" w:cs="Times New Roman"/>
          <w:b/>
          <w:szCs w:val="24"/>
        </w:rPr>
        <w:t>in</w:t>
      </w:r>
      <w:r w:rsidRPr="009C65FA">
        <w:rPr>
          <w:rFonts w:eastAsia="Calibri" w:cs="Times New Roman"/>
          <w:b/>
          <w:szCs w:val="24"/>
        </w:rPr>
        <w:t>a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Default="009C65FA" w:rsidP="009C65FA">
      <w:pPr>
        <w:spacing w:after="0"/>
        <w:jc w:val="both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Til § 1</w:t>
      </w:r>
    </w:p>
    <w:p w:rsidR="00B05885" w:rsidRDefault="00B05885" w:rsidP="00B05885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Við broytingini verður ásett í lógini, at tann til eina og hvørja tíð í Danmark galdandi útgávan av Danske Lægemiddelstandarder er at skilja sum “føroysk heilivágsskrá”.</w:t>
      </w:r>
    </w:p>
    <w:p w:rsidR="009C65FA" w:rsidRDefault="00B05885" w:rsidP="00BA302F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Í dag er tað landsst</w:t>
      </w:r>
      <w:r w:rsidR="00BA302F">
        <w:rPr>
          <w:rFonts w:eastAsia="Calibri" w:cs="Times New Roman"/>
          <w:szCs w:val="24"/>
        </w:rPr>
        <w:t xml:space="preserve">ýrismaðurin, sum í kunngerð </w:t>
      </w:r>
      <w:r>
        <w:rPr>
          <w:rFonts w:eastAsia="Calibri" w:cs="Times New Roman"/>
          <w:szCs w:val="24"/>
        </w:rPr>
        <w:t>ásetir reglur um, dygd o.a</w:t>
      </w:r>
      <w:r w:rsidR="00B079ED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í heilivági</w:t>
      </w:r>
      <w:r w:rsidR="00BA302F">
        <w:rPr>
          <w:rFonts w:eastAsia="Calibri" w:cs="Times New Roman"/>
          <w:szCs w:val="24"/>
        </w:rPr>
        <w:t>, hetta hevur í nógv ár verið gjørt við, at lýsa galdandi útgávu av Danske Lægemiddelstandarder. T</w:t>
      </w:r>
      <w:r>
        <w:rPr>
          <w:rFonts w:eastAsia="Calibri" w:cs="Times New Roman"/>
          <w:szCs w:val="24"/>
        </w:rPr>
        <w:t>að er ikki l</w:t>
      </w:r>
      <w:r w:rsidRPr="00AF4E43">
        <w:rPr>
          <w:rFonts w:eastAsia="Calibri" w:cs="Times New Roman"/>
          <w:szCs w:val="24"/>
        </w:rPr>
        <w:t xml:space="preserve">ongur </w:t>
      </w:r>
      <w:r>
        <w:rPr>
          <w:rFonts w:eastAsia="Calibri" w:cs="Times New Roman"/>
          <w:szCs w:val="24"/>
        </w:rPr>
        <w:t>møguligt at</w:t>
      </w:r>
      <w:r w:rsidRPr="00AF4E43">
        <w:rPr>
          <w:rFonts w:eastAsia="Calibri" w:cs="Times New Roman"/>
          <w:szCs w:val="24"/>
        </w:rPr>
        <w:t xml:space="preserve"> lýsa</w:t>
      </w:r>
      <w:r>
        <w:rPr>
          <w:rFonts w:eastAsia="Calibri" w:cs="Times New Roman"/>
          <w:szCs w:val="24"/>
        </w:rPr>
        <w:t xml:space="preserve"> hesar kunngerðir </w:t>
      </w:r>
      <w:r w:rsidRPr="00AF4E43">
        <w:rPr>
          <w:rFonts w:eastAsia="Calibri" w:cs="Times New Roman"/>
          <w:szCs w:val="24"/>
        </w:rPr>
        <w:t>á sama hátt, sum higartil hevur verið gjørt</w:t>
      </w:r>
      <w:r w:rsidR="00BA302F">
        <w:rPr>
          <w:rFonts w:eastAsia="Calibri" w:cs="Times New Roman"/>
          <w:szCs w:val="24"/>
        </w:rPr>
        <w:t>, tískil er neyðugt við eini lógarbroyting</w:t>
      </w:r>
      <w:r w:rsidRPr="00AF4E43">
        <w:rPr>
          <w:rFonts w:eastAsia="Calibri" w:cs="Times New Roman"/>
          <w:szCs w:val="24"/>
        </w:rPr>
        <w:t>.</w:t>
      </w:r>
    </w:p>
    <w:p w:rsidR="00005226" w:rsidRDefault="00005226" w:rsidP="00BA302F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Til § 2</w:t>
      </w:r>
    </w:p>
    <w:p w:rsidR="00005226" w:rsidRPr="00005226" w:rsidRDefault="00005226" w:rsidP="00BA302F">
      <w:pPr>
        <w:spacing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Gildiskoma.</w:t>
      </w: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both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szCs w:val="24"/>
        </w:rPr>
      </w:pPr>
    </w:p>
    <w:p w:rsidR="009C65FA" w:rsidRPr="009C65FA" w:rsidRDefault="00BA302F" w:rsidP="009C65FA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Heilsumálaráðið, </w:t>
      </w:r>
      <w:r w:rsidR="00CD5FDB">
        <w:rPr>
          <w:rFonts w:eastAsia="Calibri" w:cs="Times New Roman"/>
          <w:szCs w:val="24"/>
        </w:rPr>
        <w:t>25. oktober</w:t>
      </w:r>
      <w:r w:rsidR="0000522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2019</w:t>
      </w:r>
    </w:p>
    <w:p w:rsidR="009C65FA" w:rsidRPr="009C65FA" w:rsidRDefault="009C65FA" w:rsidP="009C65FA">
      <w:pPr>
        <w:spacing w:after="0"/>
        <w:jc w:val="center"/>
        <w:rPr>
          <w:rFonts w:eastAsia="Calibri" w:cs="Times New Roman"/>
          <w:szCs w:val="24"/>
        </w:rPr>
      </w:pPr>
    </w:p>
    <w:p w:rsidR="00005226" w:rsidRDefault="00005226" w:rsidP="009C65FA">
      <w:pPr>
        <w:spacing w:after="0"/>
        <w:jc w:val="center"/>
        <w:rPr>
          <w:rFonts w:eastAsia="Calibri" w:cs="Times New Roman"/>
          <w:b/>
          <w:szCs w:val="24"/>
        </w:rPr>
      </w:pPr>
    </w:p>
    <w:p w:rsidR="009C65FA" w:rsidRPr="009C65FA" w:rsidRDefault="00BA302F" w:rsidP="009C65FA">
      <w:pPr>
        <w:spacing w:after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Kaj Leo Holm Johannesen</w:t>
      </w:r>
    </w:p>
    <w:p w:rsidR="009C65FA" w:rsidRPr="009C65FA" w:rsidRDefault="009C65FA" w:rsidP="009C65FA">
      <w:pPr>
        <w:spacing w:after="0"/>
        <w:jc w:val="center"/>
        <w:rPr>
          <w:rFonts w:eastAsia="Calibri" w:cs="Times New Roman"/>
          <w:szCs w:val="24"/>
        </w:rPr>
      </w:pPr>
      <w:r w:rsidRPr="009C65FA">
        <w:rPr>
          <w:rFonts w:eastAsia="Calibri" w:cs="Times New Roman"/>
          <w:szCs w:val="24"/>
        </w:rPr>
        <w:t>landsstýrismaður</w:t>
      </w:r>
    </w:p>
    <w:p w:rsidR="009C65FA" w:rsidRPr="009C65FA" w:rsidRDefault="009C65FA" w:rsidP="009C65FA">
      <w:pPr>
        <w:spacing w:after="0"/>
        <w:jc w:val="right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jc w:val="right"/>
        <w:rPr>
          <w:rFonts w:eastAsia="Calibri" w:cs="Times New Roman"/>
          <w:szCs w:val="24"/>
        </w:rPr>
      </w:pPr>
      <w:r w:rsidRPr="009C65FA">
        <w:rPr>
          <w:rFonts w:eastAsia="Calibri" w:cs="Times New Roman"/>
          <w:szCs w:val="24"/>
        </w:rPr>
        <w:t xml:space="preserve">/ </w:t>
      </w:r>
      <w:r w:rsidR="00BA302F">
        <w:rPr>
          <w:rFonts w:eastAsia="Calibri" w:cs="Times New Roman"/>
          <w:szCs w:val="24"/>
        </w:rPr>
        <w:t>Turid Arge</w:t>
      </w:r>
    </w:p>
    <w:p w:rsidR="009C65FA" w:rsidRPr="009C65FA" w:rsidRDefault="009C65FA" w:rsidP="009C65FA">
      <w:pPr>
        <w:spacing w:after="0"/>
        <w:jc w:val="right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szCs w:val="24"/>
        </w:rPr>
      </w:pPr>
    </w:p>
    <w:p w:rsidR="009C65FA" w:rsidRPr="009C65FA" w:rsidRDefault="009C65FA" w:rsidP="009C65FA">
      <w:pPr>
        <w:spacing w:after="0"/>
        <w:rPr>
          <w:rFonts w:eastAsia="Calibri" w:cs="Times New Roman"/>
          <w:b/>
          <w:szCs w:val="24"/>
        </w:rPr>
      </w:pPr>
      <w:r w:rsidRPr="009C65FA">
        <w:rPr>
          <w:rFonts w:eastAsia="Calibri" w:cs="Times New Roman"/>
          <w:b/>
          <w:szCs w:val="24"/>
        </w:rPr>
        <w:t>Yvirlit yvir fylgiskjøl:</w:t>
      </w:r>
    </w:p>
    <w:p w:rsidR="009C65FA" w:rsidRPr="009C65FA" w:rsidRDefault="009C65FA" w:rsidP="009C65FA">
      <w:pPr>
        <w:spacing w:after="0"/>
        <w:rPr>
          <w:rFonts w:eastAsia="Calibri" w:cs="Times New Roman"/>
          <w:szCs w:val="24"/>
        </w:rPr>
      </w:pPr>
      <w:r w:rsidRPr="009C65FA">
        <w:rPr>
          <w:rFonts w:eastAsia="Calibri" w:cs="Times New Roman"/>
          <w:szCs w:val="24"/>
        </w:rPr>
        <w:t>Fylgiskjal 1:</w:t>
      </w:r>
      <w:r w:rsidR="00DD0C30">
        <w:rPr>
          <w:rFonts w:eastAsia="Calibri" w:cs="Times New Roman"/>
          <w:szCs w:val="24"/>
        </w:rPr>
        <w:t xml:space="preserve"> Javntekstur</w:t>
      </w:r>
    </w:p>
    <w:p w:rsidR="00EB2650" w:rsidRPr="009C65FA" w:rsidRDefault="00EB2650" w:rsidP="009C65FA">
      <w:pPr>
        <w:spacing w:after="0"/>
        <w:rPr>
          <w:rFonts w:cs="Times New Roman"/>
          <w:szCs w:val="24"/>
        </w:rPr>
      </w:pPr>
    </w:p>
    <w:sectPr w:rsidR="00EB2650" w:rsidRPr="009C65FA" w:rsidSect="00C8253F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69" w:rsidRDefault="00C55669" w:rsidP="003A5FF5">
      <w:pPr>
        <w:spacing w:after="0"/>
      </w:pPr>
      <w:r>
        <w:separator/>
      </w:r>
    </w:p>
  </w:endnote>
  <w:endnote w:type="continuationSeparator" w:id="0">
    <w:p w:rsidR="00C55669" w:rsidRDefault="00C55669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5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253F" w:rsidRDefault="00C8253F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 w:rsidR="00230A00">
              <w:rPr>
                <w:bCs/>
                <w:noProof/>
              </w:rPr>
              <w:t>6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 w:rsidR="00230A00">
              <w:rPr>
                <w:bCs/>
                <w:noProof/>
              </w:rPr>
              <w:t>6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B6E5A" w:rsidRDefault="009B6E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69" w:rsidRDefault="00C55669" w:rsidP="003A5FF5">
      <w:pPr>
        <w:spacing w:after="0"/>
      </w:pPr>
      <w:r>
        <w:separator/>
      </w:r>
    </w:p>
  </w:footnote>
  <w:footnote w:type="continuationSeparator" w:id="0">
    <w:p w:rsidR="00C55669" w:rsidRDefault="00C55669" w:rsidP="003A5FF5">
      <w:pPr>
        <w:spacing w:after="0"/>
      </w:pPr>
      <w:r>
        <w:continuationSeparator/>
      </w:r>
    </w:p>
  </w:footnote>
  <w:footnote w:id="1">
    <w:p w:rsidR="00E24AE3" w:rsidRDefault="00E24AE3" w:rsidP="00E24AE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515EE">
        <w:t>Bekendtgørelse om Danske Lægemiddelstandarder</w:t>
      </w:r>
    </w:p>
  </w:footnote>
  <w:footnote w:id="2">
    <w:p w:rsidR="00E24AE3" w:rsidRDefault="00E24AE3" w:rsidP="00E24AE3">
      <w:pPr>
        <w:pStyle w:val="Fodnotetekst"/>
      </w:pPr>
      <w:r>
        <w:rPr>
          <w:rStyle w:val="Fodnotehenvisning"/>
        </w:rPr>
        <w:footnoteRef/>
      </w:r>
      <w:r>
        <w:t xml:space="preserve"> Løgtingslóg nr. 104/1988 um apoteksverkið og heilivág, sum seinast broytt við løgtingslóg nr. 40/2014</w:t>
      </w:r>
    </w:p>
  </w:footnote>
  <w:footnote w:id="3">
    <w:p w:rsidR="00E24AE3" w:rsidRDefault="00E24AE3" w:rsidP="00E24AE3">
      <w:pPr>
        <w:pStyle w:val="Fodnotetekst"/>
      </w:pPr>
      <w:r>
        <w:rPr>
          <w:rStyle w:val="Fodnotehenvisning"/>
        </w:rPr>
        <w:footnoteRef/>
      </w:r>
      <w:r>
        <w:t xml:space="preserve"> K</w:t>
      </w:r>
      <w:r w:rsidRPr="00D95E9A">
        <w:t xml:space="preserve">unngerð nr. 72 frá 14. </w:t>
      </w:r>
      <w:r>
        <w:t>j</w:t>
      </w:r>
      <w:r w:rsidRPr="00D95E9A">
        <w:t>uni 2010 um heilivágsskrá og fyrimyndarreglur á heilivági </w:t>
      </w:r>
    </w:p>
  </w:footnote>
  <w:footnote w:id="4">
    <w:p w:rsidR="00E24AE3" w:rsidRDefault="00E24AE3" w:rsidP="00E24AE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A1C1C">
        <w:t>Kunngerð nr. 5 frá 27. januar 2015 um heilivágsskrá og fyrimyndarreglur fyri heilivág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2B1F15" w:rsidRDefault="002B1F15">
    <w:pPr>
      <w:pStyle w:val="Sidehoved"/>
      <w:rPr>
        <w:szCs w:val="24"/>
      </w:rPr>
    </w:pPr>
  </w:p>
  <w:p w:rsidR="002B1F15" w:rsidRPr="002B1F15" w:rsidRDefault="002B1F15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F5" w:rsidRPr="001B5E54" w:rsidRDefault="003A5FF5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1"/>
    <w:rsid w:val="00000BEA"/>
    <w:rsid w:val="00005226"/>
    <w:rsid w:val="00010CB1"/>
    <w:rsid w:val="000122E0"/>
    <w:rsid w:val="00015E7F"/>
    <w:rsid w:val="00023E5F"/>
    <w:rsid w:val="000274D4"/>
    <w:rsid w:val="00035C9D"/>
    <w:rsid w:val="0004472A"/>
    <w:rsid w:val="000447FF"/>
    <w:rsid w:val="00044B9C"/>
    <w:rsid w:val="00046F0D"/>
    <w:rsid w:val="00047106"/>
    <w:rsid w:val="00050EE9"/>
    <w:rsid w:val="00053D77"/>
    <w:rsid w:val="000638FA"/>
    <w:rsid w:val="00086403"/>
    <w:rsid w:val="00092757"/>
    <w:rsid w:val="00093124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679C"/>
    <w:rsid w:val="001330EA"/>
    <w:rsid w:val="00135121"/>
    <w:rsid w:val="00146A5D"/>
    <w:rsid w:val="001540F5"/>
    <w:rsid w:val="00162062"/>
    <w:rsid w:val="00184827"/>
    <w:rsid w:val="00184D6D"/>
    <w:rsid w:val="001A54FD"/>
    <w:rsid w:val="001B1B9A"/>
    <w:rsid w:val="001B5E54"/>
    <w:rsid w:val="001C2F55"/>
    <w:rsid w:val="001C4BE9"/>
    <w:rsid w:val="001C56D0"/>
    <w:rsid w:val="001D115C"/>
    <w:rsid w:val="001D2CB1"/>
    <w:rsid w:val="001F6EAF"/>
    <w:rsid w:val="001F739F"/>
    <w:rsid w:val="00214EE0"/>
    <w:rsid w:val="0022227E"/>
    <w:rsid w:val="00227916"/>
    <w:rsid w:val="00230A00"/>
    <w:rsid w:val="00246BFB"/>
    <w:rsid w:val="002514DB"/>
    <w:rsid w:val="0025385F"/>
    <w:rsid w:val="00253C71"/>
    <w:rsid w:val="00255773"/>
    <w:rsid w:val="00264D63"/>
    <w:rsid w:val="002803EA"/>
    <w:rsid w:val="002860C2"/>
    <w:rsid w:val="002B1F15"/>
    <w:rsid w:val="002C2A21"/>
    <w:rsid w:val="002C737F"/>
    <w:rsid w:val="002C7E06"/>
    <w:rsid w:val="002D6CB5"/>
    <w:rsid w:val="002F6E05"/>
    <w:rsid w:val="00304EDA"/>
    <w:rsid w:val="00305ED2"/>
    <w:rsid w:val="0031539E"/>
    <w:rsid w:val="00320C77"/>
    <w:rsid w:val="00322CE4"/>
    <w:rsid w:val="003427F7"/>
    <w:rsid w:val="003452F1"/>
    <w:rsid w:val="0035155B"/>
    <w:rsid w:val="00356BCF"/>
    <w:rsid w:val="00370861"/>
    <w:rsid w:val="00373A3E"/>
    <w:rsid w:val="0037744D"/>
    <w:rsid w:val="00380999"/>
    <w:rsid w:val="003812FF"/>
    <w:rsid w:val="003A312A"/>
    <w:rsid w:val="003A43FF"/>
    <w:rsid w:val="003A5FF5"/>
    <w:rsid w:val="003A716C"/>
    <w:rsid w:val="003B44DD"/>
    <w:rsid w:val="003C2C34"/>
    <w:rsid w:val="003D385E"/>
    <w:rsid w:val="003E0D87"/>
    <w:rsid w:val="003F21D5"/>
    <w:rsid w:val="004039D6"/>
    <w:rsid w:val="0040470F"/>
    <w:rsid w:val="004109B0"/>
    <w:rsid w:val="00422D16"/>
    <w:rsid w:val="00423E46"/>
    <w:rsid w:val="00425520"/>
    <w:rsid w:val="0043362C"/>
    <w:rsid w:val="00436C74"/>
    <w:rsid w:val="0045456D"/>
    <w:rsid w:val="00457696"/>
    <w:rsid w:val="00460D90"/>
    <w:rsid w:val="00462AC1"/>
    <w:rsid w:val="00463C1E"/>
    <w:rsid w:val="00464C0B"/>
    <w:rsid w:val="00464E42"/>
    <w:rsid w:val="00492EB4"/>
    <w:rsid w:val="004A2D09"/>
    <w:rsid w:val="004A5BC3"/>
    <w:rsid w:val="004B009B"/>
    <w:rsid w:val="004B2B69"/>
    <w:rsid w:val="004C1845"/>
    <w:rsid w:val="004F78B4"/>
    <w:rsid w:val="005006B3"/>
    <w:rsid w:val="0050180E"/>
    <w:rsid w:val="005061E4"/>
    <w:rsid w:val="005068D8"/>
    <w:rsid w:val="00511554"/>
    <w:rsid w:val="00517216"/>
    <w:rsid w:val="00520208"/>
    <w:rsid w:val="00520C59"/>
    <w:rsid w:val="005308D3"/>
    <w:rsid w:val="00534FEE"/>
    <w:rsid w:val="00551F59"/>
    <w:rsid w:val="00566880"/>
    <w:rsid w:val="005808CC"/>
    <w:rsid w:val="00582BE9"/>
    <w:rsid w:val="005A34E4"/>
    <w:rsid w:val="005A3818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045"/>
    <w:rsid w:val="00602AEF"/>
    <w:rsid w:val="00611DA7"/>
    <w:rsid w:val="0061580E"/>
    <w:rsid w:val="006166C1"/>
    <w:rsid w:val="0062609A"/>
    <w:rsid w:val="006374B3"/>
    <w:rsid w:val="00647FBC"/>
    <w:rsid w:val="0065159E"/>
    <w:rsid w:val="00656DB8"/>
    <w:rsid w:val="006642ED"/>
    <w:rsid w:val="0067372E"/>
    <w:rsid w:val="006754FD"/>
    <w:rsid w:val="006847A0"/>
    <w:rsid w:val="006855F3"/>
    <w:rsid w:val="006861B0"/>
    <w:rsid w:val="006906A0"/>
    <w:rsid w:val="00692307"/>
    <w:rsid w:val="006932C9"/>
    <w:rsid w:val="006944BF"/>
    <w:rsid w:val="006A052D"/>
    <w:rsid w:val="006B0106"/>
    <w:rsid w:val="006E2D6E"/>
    <w:rsid w:val="007038B8"/>
    <w:rsid w:val="00732275"/>
    <w:rsid w:val="0074478D"/>
    <w:rsid w:val="00745D4A"/>
    <w:rsid w:val="00746B18"/>
    <w:rsid w:val="00756EB7"/>
    <w:rsid w:val="0076665D"/>
    <w:rsid w:val="00770A17"/>
    <w:rsid w:val="00771B25"/>
    <w:rsid w:val="0077428F"/>
    <w:rsid w:val="0079199C"/>
    <w:rsid w:val="007B1DEC"/>
    <w:rsid w:val="007B2A2C"/>
    <w:rsid w:val="007B6E71"/>
    <w:rsid w:val="007C21E3"/>
    <w:rsid w:val="007D5B26"/>
    <w:rsid w:val="007E0848"/>
    <w:rsid w:val="007E758E"/>
    <w:rsid w:val="00806D41"/>
    <w:rsid w:val="0080742C"/>
    <w:rsid w:val="00823533"/>
    <w:rsid w:val="00823566"/>
    <w:rsid w:val="0083092D"/>
    <w:rsid w:val="00834A49"/>
    <w:rsid w:val="00841D5A"/>
    <w:rsid w:val="00845457"/>
    <w:rsid w:val="008457DE"/>
    <w:rsid w:val="008470A3"/>
    <w:rsid w:val="008538D7"/>
    <w:rsid w:val="00861768"/>
    <w:rsid w:val="00863B1D"/>
    <w:rsid w:val="00871900"/>
    <w:rsid w:val="00876D2D"/>
    <w:rsid w:val="008A0855"/>
    <w:rsid w:val="008B219C"/>
    <w:rsid w:val="008B21B2"/>
    <w:rsid w:val="008B50EB"/>
    <w:rsid w:val="008B6B55"/>
    <w:rsid w:val="008C1080"/>
    <w:rsid w:val="008C1DFC"/>
    <w:rsid w:val="008C5493"/>
    <w:rsid w:val="008E4219"/>
    <w:rsid w:val="008F74CF"/>
    <w:rsid w:val="00911C88"/>
    <w:rsid w:val="00914A2A"/>
    <w:rsid w:val="0092039A"/>
    <w:rsid w:val="00930912"/>
    <w:rsid w:val="0093386F"/>
    <w:rsid w:val="00934D57"/>
    <w:rsid w:val="00935C49"/>
    <w:rsid w:val="0093700D"/>
    <w:rsid w:val="009406F8"/>
    <w:rsid w:val="00985CFD"/>
    <w:rsid w:val="00985FA5"/>
    <w:rsid w:val="00986B87"/>
    <w:rsid w:val="0099053D"/>
    <w:rsid w:val="00993911"/>
    <w:rsid w:val="009A2669"/>
    <w:rsid w:val="009A428E"/>
    <w:rsid w:val="009B0FB9"/>
    <w:rsid w:val="009B1416"/>
    <w:rsid w:val="009B3BDD"/>
    <w:rsid w:val="009B6E5A"/>
    <w:rsid w:val="009B79D3"/>
    <w:rsid w:val="009C0ABB"/>
    <w:rsid w:val="009C3E65"/>
    <w:rsid w:val="009C5EFA"/>
    <w:rsid w:val="009C65FA"/>
    <w:rsid w:val="009D2F45"/>
    <w:rsid w:val="009D4DA1"/>
    <w:rsid w:val="009D6A6C"/>
    <w:rsid w:val="009E1FE3"/>
    <w:rsid w:val="009F14D3"/>
    <w:rsid w:val="00A047C8"/>
    <w:rsid w:val="00A16870"/>
    <w:rsid w:val="00A17140"/>
    <w:rsid w:val="00A34211"/>
    <w:rsid w:val="00A4618D"/>
    <w:rsid w:val="00A50498"/>
    <w:rsid w:val="00A526BD"/>
    <w:rsid w:val="00A53AF7"/>
    <w:rsid w:val="00A54D65"/>
    <w:rsid w:val="00A576ED"/>
    <w:rsid w:val="00A577CF"/>
    <w:rsid w:val="00A65B90"/>
    <w:rsid w:val="00A73EA1"/>
    <w:rsid w:val="00A8797E"/>
    <w:rsid w:val="00A90216"/>
    <w:rsid w:val="00A92CE3"/>
    <w:rsid w:val="00A9350B"/>
    <w:rsid w:val="00AA09DA"/>
    <w:rsid w:val="00AA1EF6"/>
    <w:rsid w:val="00AA4164"/>
    <w:rsid w:val="00AA77E9"/>
    <w:rsid w:val="00AC07AB"/>
    <w:rsid w:val="00AC5490"/>
    <w:rsid w:val="00AD04B2"/>
    <w:rsid w:val="00AE05B4"/>
    <w:rsid w:val="00AE73BD"/>
    <w:rsid w:val="00AF0DF5"/>
    <w:rsid w:val="00AF4E43"/>
    <w:rsid w:val="00AF6BFC"/>
    <w:rsid w:val="00AF7C7D"/>
    <w:rsid w:val="00B02CAA"/>
    <w:rsid w:val="00B05885"/>
    <w:rsid w:val="00B079ED"/>
    <w:rsid w:val="00B21AD0"/>
    <w:rsid w:val="00B313F2"/>
    <w:rsid w:val="00B40416"/>
    <w:rsid w:val="00B5206A"/>
    <w:rsid w:val="00B62B14"/>
    <w:rsid w:val="00B62CFD"/>
    <w:rsid w:val="00B63C8B"/>
    <w:rsid w:val="00B83196"/>
    <w:rsid w:val="00B90291"/>
    <w:rsid w:val="00B92717"/>
    <w:rsid w:val="00B933A3"/>
    <w:rsid w:val="00BA0BFF"/>
    <w:rsid w:val="00BA302F"/>
    <w:rsid w:val="00BB6385"/>
    <w:rsid w:val="00BC43C2"/>
    <w:rsid w:val="00BD2CAA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1EDD"/>
    <w:rsid w:val="00C4281B"/>
    <w:rsid w:val="00C507D7"/>
    <w:rsid w:val="00C55669"/>
    <w:rsid w:val="00C56C45"/>
    <w:rsid w:val="00C60A1D"/>
    <w:rsid w:val="00C64A9B"/>
    <w:rsid w:val="00C65B06"/>
    <w:rsid w:val="00C6731B"/>
    <w:rsid w:val="00C73698"/>
    <w:rsid w:val="00C8253F"/>
    <w:rsid w:val="00C84DD8"/>
    <w:rsid w:val="00C85148"/>
    <w:rsid w:val="00C91D61"/>
    <w:rsid w:val="00C94B40"/>
    <w:rsid w:val="00C95A4E"/>
    <w:rsid w:val="00C9686D"/>
    <w:rsid w:val="00CA22C1"/>
    <w:rsid w:val="00CD0A8C"/>
    <w:rsid w:val="00CD2D63"/>
    <w:rsid w:val="00CD5FDB"/>
    <w:rsid w:val="00CD63AD"/>
    <w:rsid w:val="00D04E40"/>
    <w:rsid w:val="00D10AA3"/>
    <w:rsid w:val="00D10CE4"/>
    <w:rsid w:val="00D11735"/>
    <w:rsid w:val="00D20BB7"/>
    <w:rsid w:val="00D20DEA"/>
    <w:rsid w:val="00D22728"/>
    <w:rsid w:val="00D229E8"/>
    <w:rsid w:val="00D25DFB"/>
    <w:rsid w:val="00D354E5"/>
    <w:rsid w:val="00D40776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55D7"/>
    <w:rsid w:val="00D96CCF"/>
    <w:rsid w:val="00D96E70"/>
    <w:rsid w:val="00D97232"/>
    <w:rsid w:val="00DA32B2"/>
    <w:rsid w:val="00DB5CCE"/>
    <w:rsid w:val="00DC377A"/>
    <w:rsid w:val="00DD0C30"/>
    <w:rsid w:val="00DD0D95"/>
    <w:rsid w:val="00DE1631"/>
    <w:rsid w:val="00E13791"/>
    <w:rsid w:val="00E17A83"/>
    <w:rsid w:val="00E20280"/>
    <w:rsid w:val="00E24AE3"/>
    <w:rsid w:val="00E435CB"/>
    <w:rsid w:val="00E50744"/>
    <w:rsid w:val="00E65C31"/>
    <w:rsid w:val="00E91105"/>
    <w:rsid w:val="00E91F9E"/>
    <w:rsid w:val="00E97352"/>
    <w:rsid w:val="00EA1B3E"/>
    <w:rsid w:val="00EA5003"/>
    <w:rsid w:val="00EB21D2"/>
    <w:rsid w:val="00EB2650"/>
    <w:rsid w:val="00EC2245"/>
    <w:rsid w:val="00EC5008"/>
    <w:rsid w:val="00ED7A20"/>
    <w:rsid w:val="00F110D7"/>
    <w:rsid w:val="00F1615D"/>
    <w:rsid w:val="00F2565F"/>
    <w:rsid w:val="00F36633"/>
    <w:rsid w:val="00F478DE"/>
    <w:rsid w:val="00F538C3"/>
    <w:rsid w:val="00F6708A"/>
    <w:rsid w:val="00F77BF6"/>
    <w:rsid w:val="00F82BF5"/>
    <w:rsid w:val="00F905C6"/>
    <w:rsid w:val="00F90E73"/>
    <w:rsid w:val="00F96ED5"/>
    <w:rsid w:val="00FA2AA0"/>
    <w:rsid w:val="00FA4D67"/>
    <w:rsid w:val="00FB26B2"/>
    <w:rsid w:val="00FC1825"/>
    <w:rsid w:val="00FC469E"/>
    <w:rsid w:val="00FD2BE2"/>
    <w:rsid w:val="00FD5DC7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19BBBFC"/>
  <w15:chartTrackingRefBased/>
  <w15:docId w15:val="{DF7020A9-5DDF-4D3D-969E-E2B97FD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table" w:customStyle="1" w:styleId="Tabel-Gitter11">
    <w:name w:val="Tabel - Gitter11"/>
    <w:basedOn w:val="Tabel-Normal"/>
    <w:uiPriority w:val="59"/>
    <w:locked/>
    <w:rsid w:val="009C65FA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E24AE3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4AE3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AE3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0D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0D9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0D95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0D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0D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9AD6CB67D340D2AA0FFC99A2A39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8572FB-3467-40F6-A4FB-1574B6AE8644}"/>
      </w:docPartPr>
      <w:docPartBody>
        <w:p w:rsidR="00216F89" w:rsidRDefault="004D09EC">
          <w:pPr>
            <w:pStyle w:val="C89AD6CB67D340D2AA0FFC99A2A3923B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C99B8BD81E2414F95A63A084EDCB3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36EEF-F76F-4CA9-8145-B9272DB8C40A}"/>
      </w:docPartPr>
      <w:docPartBody>
        <w:p w:rsidR="00216F89" w:rsidRDefault="004D09EC">
          <w:pPr>
            <w:pStyle w:val="2C99B8BD81E2414F95A63A084EDCB360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47C087FB8894FDA882EF1FE1CE84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A51A0-64FD-463B-A907-715F8D5B3E93}"/>
      </w:docPartPr>
      <w:docPartBody>
        <w:p w:rsidR="00216F89" w:rsidRDefault="004D09EC">
          <w:pPr>
            <w:pStyle w:val="F47C087FB8894FDA882EF1FE1CE847F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D7E6CFEB6104370B4F2956DE05FD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16FDE-B466-4EA2-AE6E-D38C025587C6}"/>
      </w:docPartPr>
      <w:docPartBody>
        <w:p w:rsidR="00216F89" w:rsidRDefault="004D09EC">
          <w:pPr>
            <w:pStyle w:val="2D7E6CFEB6104370B4F2956DE05FDE6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D3282A3FC7246449A1C5C99E969C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E1EEE-31B9-4B61-A418-60C861F8ACB3}"/>
      </w:docPartPr>
      <w:docPartBody>
        <w:p w:rsidR="00216F89" w:rsidRDefault="004D09EC">
          <w:pPr>
            <w:pStyle w:val="DD3282A3FC7246449A1C5C99E969C27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11510BF44F954275AEE7689448AE3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83A44-9B83-4DEF-858E-813A0E3A7A12}"/>
      </w:docPartPr>
      <w:docPartBody>
        <w:p w:rsidR="00216F89" w:rsidRDefault="004D09EC">
          <w:pPr>
            <w:pStyle w:val="11510BF44F954275AEE7689448AE350B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A4D9B2E00B64EAAAE2E19792AF5D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3B666-2149-44A9-B011-F0CD4D9B05FF}"/>
      </w:docPartPr>
      <w:docPartBody>
        <w:p w:rsidR="00216F89" w:rsidRDefault="004D09EC">
          <w:pPr>
            <w:pStyle w:val="2A4D9B2E00B64EAAAE2E19792AF5DAD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6A45F8E62784DAB9DC43613F955A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F7CEB-6655-484F-81D8-E82607AC2C8A}"/>
      </w:docPartPr>
      <w:docPartBody>
        <w:p w:rsidR="00216F89" w:rsidRDefault="004D09EC">
          <w:pPr>
            <w:pStyle w:val="C6A45F8E62784DAB9DC43613F955AD7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8D0DB49103054C2AAFF1E6DA48B64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F4CA8E-FD77-4987-BA70-4542DF8DC572}"/>
      </w:docPartPr>
      <w:docPartBody>
        <w:p w:rsidR="00216F89" w:rsidRDefault="004D09EC">
          <w:pPr>
            <w:pStyle w:val="8D0DB49103054C2AAFF1E6DA48B64F2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28568451DB464880B13A0811029CC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28ADD-C548-4A1F-88AE-B9582D712E82}"/>
      </w:docPartPr>
      <w:docPartBody>
        <w:p w:rsidR="00216F89" w:rsidRDefault="004D09EC">
          <w:pPr>
            <w:pStyle w:val="28568451DB464880B13A0811029CC17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AFB465CD07AC43CF8FB1C473283CC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29EB0-7D13-4779-9608-23FB1B5E04D8}"/>
      </w:docPartPr>
      <w:docPartBody>
        <w:p w:rsidR="00216F89" w:rsidRDefault="004D09EC">
          <w:pPr>
            <w:pStyle w:val="AFB465CD07AC43CF8FB1C473283CCA81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5417B3A2477048CEBCEDD5469A5B0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E43ACC-0835-4EBB-BF39-B409960AB6F6}"/>
      </w:docPartPr>
      <w:docPartBody>
        <w:p w:rsidR="00216F89" w:rsidRDefault="004D09EC">
          <w:pPr>
            <w:pStyle w:val="5417B3A2477048CEBCEDD5469A5B00B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4C2F38D48A54E0884AFFD521B7A0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4FE1A-7E93-4D75-B64F-B265C7EB9286}"/>
      </w:docPartPr>
      <w:docPartBody>
        <w:p w:rsidR="00216F89" w:rsidRDefault="004D09EC">
          <w:pPr>
            <w:pStyle w:val="B4C2F38D48A54E0884AFFD521B7A0F7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AA02E205F60438C8C222C1C23845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56AC6-88EF-4AF0-A4BB-3FEC36EE15D2}"/>
      </w:docPartPr>
      <w:docPartBody>
        <w:p w:rsidR="00216F89" w:rsidRDefault="004D09EC">
          <w:pPr>
            <w:pStyle w:val="CAA02E205F60438C8C222C1C23845F8B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60369044C5BF4BDBBED18EB89BD77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DC49A-7665-462D-B11A-4C580C00ACAD}"/>
      </w:docPartPr>
      <w:docPartBody>
        <w:p w:rsidR="00216F89" w:rsidRDefault="004D09EC">
          <w:pPr>
            <w:pStyle w:val="60369044C5BF4BDBBED18EB89BD773B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FE906EC3F4743ADAD04B515BB78F9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A2CED-70B2-484C-B6CB-F023DF7FFFBA}"/>
      </w:docPartPr>
      <w:docPartBody>
        <w:p w:rsidR="00216F89" w:rsidRDefault="004D09EC">
          <w:pPr>
            <w:pStyle w:val="CFE906EC3F4743ADAD04B515BB78F9C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9D580AB2B294FD2AD969A1F65580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7E5CB5-44D5-4B7D-8F24-7A041B4AAA36}"/>
      </w:docPartPr>
      <w:docPartBody>
        <w:p w:rsidR="00216F89" w:rsidRDefault="004D09EC">
          <w:pPr>
            <w:pStyle w:val="49D580AB2B294FD2AD969A1F6558050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93B51D6E3C748B7A37F73F27116F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250D77-BC41-40B1-AA2F-8E507B514A92}"/>
      </w:docPartPr>
      <w:docPartBody>
        <w:p w:rsidR="00216F89" w:rsidRDefault="004D09EC">
          <w:pPr>
            <w:pStyle w:val="C93B51D6E3C748B7A37F73F27116F51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6C49656303854ED19F571FE9274FA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7C33CD-0ABD-493B-B112-B0568D75AA26}"/>
      </w:docPartPr>
      <w:docPartBody>
        <w:p w:rsidR="00216F89" w:rsidRDefault="004D09EC">
          <w:pPr>
            <w:pStyle w:val="6C49656303854ED19F571FE9274FAE6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1BB2A2072E124223BA84AB6783A89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FFC8E-E070-4E5D-8398-22C2E1E04DB8}"/>
      </w:docPartPr>
      <w:docPartBody>
        <w:p w:rsidR="00216F89" w:rsidRDefault="004D09EC">
          <w:pPr>
            <w:pStyle w:val="1BB2A2072E124223BA84AB6783A8946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A957021A39E142EB8735EECF7ADB0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7A7CD-838D-490F-AF54-FC5794B38E1B}"/>
      </w:docPartPr>
      <w:docPartBody>
        <w:p w:rsidR="00216F89" w:rsidRDefault="004D09EC">
          <w:pPr>
            <w:pStyle w:val="A957021A39E142EB8735EECF7ADB058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15640E0E202D4E10B0A5787734B48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72103-E3A1-4DCA-BB53-AF808B2943AD}"/>
      </w:docPartPr>
      <w:docPartBody>
        <w:p w:rsidR="00216F89" w:rsidRDefault="004D09EC">
          <w:pPr>
            <w:pStyle w:val="15640E0E202D4E10B0A5787734B48E14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EC"/>
    <w:rsid w:val="00216F89"/>
    <w:rsid w:val="002A25F7"/>
    <w:rsid w:val="004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</w:style>
  <w:style w:type="paragraph" w:customStyle="1" w:styleId="C89AD6CB67D340D2AA0FFC99A2A3923B">
    <w:name w:val="C89AD6CB67D340D2AA0FFC99A2A3923B"/>
  </w:style>
  <w:style w:type="paragraph" w:customStyle="1" w:styleId="2C99B8BD81E2414F95A63A084EDCB360">
    <w:name w:val="2C99B8BD81E2414F95A63A084EDCB360"/>
  </w:style>
  <w:style w:type="paragraph" w:customStyle="1" w:styleId="F47C087FB8894FDA882EF1FE1CE847F3">
    <w:name w:val="F47C087FB8894FDA882EF1FE1CE847F3"/>
  </w:style>
  <w:style w:type="paragraph" w:customStyle="1" w:styleId="2D7E6CFEB6104370B4F2956DE05FDE6F">
    <w:name w:val="2D7E6CFEB6104370B4F2956DE05FDE6F"/>
  </w:style>
  <w:style w:type="paragraph" w:customStyle="1" w:styleId="DD3282A3FC7246449A1C5C99E969C272">
    <w:name w:val="DD3282A3FC7246449A1C5C99E969C272"/>
  </w:style>
  <w:style w:type="paragraph" w:customStyle="1" w:styleId="11510BF44F954275AEE7689448AE350B">
    <w:name w:val="11510BF44F954275AEE7689448AE350B"/>
  </w:style>
  <w:style w:type="paragraph" w:customStyle="1" w:styleId="2A4D9B2E00B64EAAAE2E19792AF5DADC">
    <w:name w:val="2A4D9B2E00B64EAAAE2E19792AF5DADC"/>
  </w:style>
  <w:style w:type="paragraph" w:customStyle="1" w:styleId="C6A45F8E62784DAB9DC43613F955AD7C">
    <w:name w:val="C6A45F8E62784DAB9DC43613F955AD7C"/>
  </w:style>
  <w:style w:type="paragraph" w:customStyle="1" w:styleId="8D0DB49103054C2AAFF1E6DA48B64F2C">
    <w:name w:val="8D0DB49103054C2AAFF1E6DA48B64F2C"/>
  </w:style>
  <w:style w:type="paragraph" w:customStyle="1" w:styleId="28568451DB464880B13A0811029CC175">
    <w:name w:val="28568451DB464880B13A0811029CC175"/>
  </w:style>
  <w:style w:type="paragraph" w:customStyle="1" w:styleId="AFB465CD07AC43CF8FB1C473283CCA81">
    <w:name w:val="AFB465CD07AC43CF8FB1C473283CCA81"/>
  </w:style>
  <w:style w:type="paragraph" w:customStyle="1" w:styleId="5417B3A2477048CEBCEDD5469A5B00BA">
    <w:name w:val="5417B3A2477048CEBCEDD5469A5B00BA"/>
  </w:style>
  <w:style w:type="paragraph" w:customStyle="1" w:styleId="B4C2F38D48A54E0884AFFD521B7A0F73">
    <w:name w:val="B4C2F38D48A54E0884AFFD521B7A0F73"/>
  </w:style>
  <w:style w:type="paragraph" w:customStyle="1" w:styleId="CAA02E205F60438C8C222C1C23845F8B">
    <w:name w:val="CAA02E205F60438C8C222C1C23845F8B"/>
  </w:style>
  <w:style w:type="paragraph" w:customStyle="1" w:styleId="60369044C5BF4BDBBED18EB89BD773BC">
    <w:name w:val="60369044C5BF4BDBBED18EB89BD773BC"/>
  </w:style>
  <w:style w:type="paragraph" w:customStyle="1" w:styleId="CFE906EC3F4743ADAD04B515BB78F9CC">
    <w:name w:val="CFE906EC3F4743ADAD04B515BB78F9CC"/>
  </w:style>
  <w:style w:type="paragraph" w:customStyle="1" w:styleId="49D580AB2B294FD2AD969A1F65580508">
    <w:name w:val="49D580AB2B294FD2AD969A1F65580508"/>
  </w:style>
  <w:style w:type="paragraph" w:customStyle="1" w:styleId="C93B51D6E3C748B7A37F73F27116F512">
    <w:name w:val="C93B51D6E3C748B7A37F73F27116F512"/>
  </w:style>
  <w:style w:type="paragraph" w:customStyle="1" w:styleId="6C49656303854ED19F571FE9274FAE62">
    <w:name w:val="6C49656303854ED19F571FE9274FAE62"/>
  </w:style>
  <w:style w:type="paragraph" w:customStyle="1" w:styleId="1BB2A2072E124223BA84AB6783A89465">
    <w:name w:val="1BB2A2072E124223BA84AB6783A89465"/>
  </w:style>
  <w:style w:type="paragraph" w:customStyle="1" w:styleId="A957021A39E142EB8735EECF7ADB0588">
    <w:name w:val="A957021A39E142EB8735EECF7ADB0588"/>
  </w:style>
  <w:style w:type="paragraph" w:customStyle="1" w:styleId="15640E0E202D4E10B0A5787734B48E14">
    <w:name w:val="15640E0E202D4E10B0A5787734B48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790C-91CB-42E6-8835-6DE3F2EA1CF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36</ap:TotalTime>
  <ap:Pages>6</ap:Pages>
  <ap:Words>1020</ap:Words>
  <ap:Characters>5817</ap:Characters>
  <ap:Application>Microsoft Office Word</ap:Application>
  <ap:DocSecurity>0</ap:DocSecurity>
  <ap:Lines>48</ap:Lines>
  <ap:Paragraphs>13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Uppskot til broyting í løgtingslóg</vt:lpstr>
    </vt:vector>
  </ap:TitlesOfParts>
  <ap:Company>Lógatænastan</ap:Company>
  <ap:LinksUpToDate>false</ap:LinksUpToDate>
  <ap:CharactersWithSpaces>6824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løgtingslóg</dc:title>
  <dc:subject>Uppskot til Løgtingslóg</dc:subject>
  <dc:creator>Christian Gabrielsen (Administrator LNET)</dc:creator>
  <cp:keywords>4. útgáva - januar 2019</cp:keywords>
  <dc:description>Uppskot til broyting í løgtingslóg 4. útgáva - januar 2019</dc:description>
  <cp:lastModifiedBy>Rannvá Magnussen</cp:lastModifiedBy>
  <cp:revision>3</cp:revision>
  <cp:lastPrinted>2016-03-15T10:55:00Z</cp:lastPrinted>
  <dcterms:created xsi:type="dcterms:W3CDTF">2019-10-25T12:42:00Z</dcterms:created>
  <dcterms:modified xsi:type="dcterms:W3CDTF">2019-10-25T13:18:00Z</dcterms:modified>
  <cp:contentStatus>1. útgáva - mars 2016</cp:contentStatus>
</cp:coreProperties>
</file>