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E2" w:rsidRPr="00771B25" w:rsidRDefault="001B5E54" w:rsidP="003A39E2">
      <w:pPr>
        <w:spacing w:after="0"/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E2">
        <w:rPr>
          <w:rFonts w:cs="Times New Roman"/>
          <w:b/>
          <w:sz w:val="32"/>
          <w:szCs w:val="32"/>
        </w:rPr>
        <w:t>Almannamálaráðið</w:t>
      </w:r>
    </w:p>
    <w:p w:rsidR="00464E42" w:rsidRDefault="00464E42" w:rsidP="003A6690">
      <w:pPr>
        <w:spacing w:after="0"/>
        <w:rPr>
          <w:rStyle w:val="TypografiFed"/>
          <w:rFonts w:cs="Times New Roman"/>
        </w:rPr>
      </w:pPr>
    </w:p>
    <w:p w:rsidR="00882164" w:rsidRDefault="00882164" w:rsidP="003A6690">
      <w:pPr>
        <w:spacing w:after="0"/>
        <w:rPr>
          <w:rStyle w:val="TypografiFed"/>
          <w:rFonts w:cs="Times New Roman"/>
        </w:rPr>
      </w:pPr>
    </w:p>
    <w:p w:rsidR="006D3E3B" w:rsidRPr="00771B25" w:rsidRDefault="006D3E3B" w:rsidP="003A6690">
      <w:pPr>
        <w:spacing w:after="0"/>
        <w:rPr>
          <w:rStyle w:val="TypografiFed"/>
          <w:rFonts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3A39E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desember 2018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3A39E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18/01069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3A39E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Jákup Andrias Kristiansen</w:t>
            </w:r>
          </w:p>
        </w:tc>
      </w:tr>
    </w:tbl>
    <w:p w:rsidR="00464E42" w:rsidRPr="00771B25" w:rsidRDefault="00464E42" w:rsidP="004A178F">
      <w:pPr>
        <w:spacing w:after="0"/>
        <w:rPr>
          <w:rFonts w:cs="Times New Roman"/>
          <w:szCs w:val="24"/>
        </w:rPr>
      </w:pPr>
    </w:p>
    <w:p w:rsidR="00671ABB" w:rsidRDefault="00671ABB" w:rsidP="00671ABB">
      <w:pPr>
        <w:spacing w:after="0"/>
        <w:jc w:val="right"/>
        <w:rPr>
          <w:rStyle w:val="TypografiFed"/>
          <w:rFonts w:cs="Times New Roman"/>
        </w:rPr>
      </w:pPr>
    </w:p>
    <w:p w:rsidR="00671ABB" w:rsidRDefault="00671ABB" w:rsidP="00671ABB">
      <w:pPr>
        <w:spacing w:after="0"/>
        <w:jc w:val="right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Fylgiskjal 1</w:t>
      </w:r>
    </w:p>
    <w:p w:rsidR="00D354E5" w:rsidRPr="00771B25" w:rsidRDefault="00D354E5" w:rsidP="00671ABB">
      <w:pPr>
        <w:spacing w:after="0"/>
        <w:jc w:val="right"/>
        <w:rPr>
          <w:rStyle w:val="TypografiFed"/>
          <w:rFonts w:cs="Times New Roman"/>
        </w:rPr>
      </w:pPr>
    </w:p>
    <w:p w:rsidR="009C3E65" w:rsidRPr="00771B25" w:rsidRDefault="009C3E65" w:rsidP="004A178F">
      <w:pPr>
        <w:spacing w:after="0"/>
        <w:rPr>
          <w:rStyle w:val="TypografiFed"/>
          <w:rFonts w:cs="Times New Roman"/>
        </w:rPr>
      </w:pPr>
    </w:p>
    <w:p w:rsidR="00D354E5" w:rsidRPr="00771B25" w:rsidRDefault="00671ABB" w:rsidP="003A6690">
      <w:pPr>
        <w:spacing w:after="0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Javntekstur</w:t>
      </w:r>
      <w:proofErr w:type="spellEnd"/>
    </w:p>
    <w:p w:rsidR="00086403" w:rsidRDefault="00086403" w:rsidP="00D354E5">
      <w:pPr>
        <w:spacing w:after="0"/>
        <w:jc w:val="center"/>
        <w:rPr>
          <w:rFonts w:cs="Times New Roman"/>
          <w:b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Galdandi orðingar í løgtingslógini samanbornar við broyttu orðingarnar í </w:t>
      </w:r>
      <w:proofErr w:type="spellStart"/>
      <w:r>
        <w:rPr>
          <w:rFonts w:cs="Times New Roman"/>
          <w:szCs w:val="24"/>
        </w:rPr>
        <w:t>løgtingslógaruppskotinum</w:t>
      </w:r>
      <w:proofErr w:type="spellEnd"/>
      <w:r>
        <w:rPr>
          <w:rFonts w:cs="Times New Roman"/>
          <w:szCs w:val="24"/>
        </w:rPr>
        <w:t>.</w:t>
      </w:r>
    </w:p>
    <w:p w:rsidR="00D56F25" w:rsidRDefault="00D56F25" w:rsidP="00D354E5">
      <w:pPr>
        <w:spacing w:after="0"/>
        <w:jc w:val="center"/>
        <w:rPr>
          <w:rFonts w:cs="Times New Roman"/>
          <w:szCs w:val="24"/>
        </w:rPr>
      </w:pPr>
    </w:p>
    <w:p w:rsidR="00D56F25" w:rsidRDefault="00D56F25" w:rsidP="00D354E5">
      <w:pPr>
        <w:spacing w:after="0"/>
        <w:jc w:val="center"/>
        <w:rPr>
          <w:rFonts w:cs="Times New Roman"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690" w:rsidTr="003A6690">
        <w:tc>
          <w:tcPr>
            <w:tcW w:w="4508" w:type="dxa"/>
          </w:tcPr>
          <w:p w:rsidR="003A6690" w:rsidRPr="003A6690" w:rsidRDefault="003A6690" w:rsidP="003A6690">
            <w:pPr>
              <w:rPr>
                <w:rFonts w:cs="Times New Roman"/>
                <w:b/>
                <w:szCs w:val="24"/>
              </w:rPr>
            </w:pPr>
            <w:r w:rsidRPr="003A6690">
              <w:rPr>
                <w:rFonts w:cs="Times New Roman"/>
                <w:b/>
                <w:szCs w:val="24"/>
              </w:rPr>
              <w:t>Galdandi orðingar</w:t>
            </w:r>
          </w:p>
        </w:tc>
        <w:tc>
          <w:tcPr>
            <w:tcW w:w="4508" w:type="dxa"/>
          </w:tcPr>
          <w:p w:rsidR="003A6690" w:rsidRPr="005636BE" w:rsidRDefault="00FB643C" w:rsidP="003A6690">
            <w:pPr>
              <w:rPr>
                <w:rFonts w:cs="Times New Roman"/>
                <w:b/>
                <w:szCs w:val="24"/>
              </w:rPr>
            </w:pPr>
            <w:proofErr w:type="spellStart"/>
            <w:r w:rsidRPr="005636BE">
              <w:rPr>
                <w:rFonts w:cs="Times New Roman"/>
                <w:b/>
                <w:szCs w:val="24"/>
              </w:rPr>
              <w:t>Løgtingslógaruppskotið</w:t>
            </w:r>
            <w:proofErr w:type="spellEnd"/>
          </w:p>
        </w:tc>
      </w:tr>
      <w:tr w:rsidR="003A6690" w:rsidTr="003A6690">
        <w:tc>
          <w:tcPr>
            <w:tcW w:w="4508" w:type="dxa"/>
          </w:tcPr>
          <w:p w:rsidR="00BD5DEC" w:rsidRPr="00BD5DEC" w:rsidRDefault="00BD5DEC" w:rsidP="00BD5DEC">
            <w:pPr>
              <w:tabs>
                <w:tab w:val="left" w:pos="2542"/>
              </w:tabs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b/>
                <w:bCs/>
                <w:szCs w:val="24"/>
              </w:rPr>
              <w:t>§ 2.</w:t>
            </w:r>
            <w:r w:rsidRPr="00BD5DEC">
              <w:rPr>
                <w:rFonts w:cs="Times New Roman"/>
                <w:szCs w:val="24"/>
              </w:rPr>
              <w:t xml:space="preserve"> Útleiga, sum fevnir um í mesta lagi tvey leigumál, ið eru á sama bústaði, har útleigarin og húski hansara búgva, er eftir hesi lóg at rokna sum ikki vinnulig útleiga.</w:t>
            </w:r>
          </w:p>
          <w:p w:rsidR="00BD5DEC" w:rsidRPr="00BD5DEC" w:rsidRDefault="00BD5DEC" w:rsidP="00BD5DEC">
            <w:pPr>
              <w:tabs>
                <w:tab w:val="left" w:pos="2542"/>
              </w:tabs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2.</w:t>
            </w:r>
            <w:r w:rsidRPr="00BD5DEC">
              <w:rPr>
                <w:rFonts w:cs="Times New Roman"/>
                <w:szCs w:val="24"/>
              </w:rPr>
              <w:t xml:space="preserve"> Útleiga, ið ikki er fevnd av stk. 1, er eftir hesi lóg at rokna sum vinnulig útleiga.</w:t>
            </w:r>
          </w:p>
          <w:p w:rsidR="00BD5DEC" w:rsidRPr="00BD5DEC" w:rsidRDefault="00BD5DEC" w:rsidP="00BD5DEC">
            <w:pPr>
              <w:tabs>
                <w:tab w:val="left" w:pos="2542"/>
              </w:tabs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3.</w:t>
            </w:r>
            <w:r w:rsidRPr="00BD5DEC">
              <w:rPr>
                <w:rFonts w:cs="Times New Roman"/>
                <w:szCs w:val="24"/>
              </w:rPr>
              <w:t xml:space="preserve"> Útleiga hjá tí almenna ella løgfrøðiligum persónum er eftir hesi lóg at rokna sum vinnulig útleiga.</w:t>
            </w:r>
          </w:p>
          <w:p w:rsidR="00556429" w:rsidRPr="00BD5DEC" w:rsidRDefault="00556429" w:rsidP="00556429">
            <w:pPr>
              <w:tabs>
                <w:tab w:val="left" w:pos="2542"/>
              </w:tabs>
              <w:rPr>
                <w:rFonts w:cs="Times New Roman"/>
                <w:szCs w:val="24"/>
                <w:lang w:val="da-DK"/>
              </w:rPr>
            </w:pPr>
          </w:p>
          <w:p w:rsidR="003A6690" w:rsidRPr="003A6690" w:rsidRDefault="003A6690" w:rsidP="003A6690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</w:tcPr>
          <w:p w:rsidR="003A6690" w:rsidRPr="002C45C7" w:rsidRDefault="00556429" w:rsidP="003A669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§ 2. </w:t>
            </w:r>
            <w:r w:rsidRPr="002C45C7">
              <w:rPr>
                <w:rFonts w:cs="Times New Roman"/>
                <w:b/>
                <w:szCs w:val="24"/>
              </w:rPr>
              <w:t>Útleiga, sum í mesta lagi fevnir um tvey leigumál, er eftir hesi lóg at rokna sum ikki vinnuliga útleiga.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2.</w:t>
            </w:r>
            <w:r w:rsidRPr="00BD5DEC">
              <w:rPr>
                <w:rFonts w:cs="Times New Roman"/>
                <w:szCs w:val="24"/>
              </w:rPr>
              <w:t xml:space="preserve"> Útleiga, ið ikki er fevnd av stk. 1, er eftir hesi lóg at rokna sum vinnulig útleiga.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3.</w:t>
            </w:r>
            <w:r w:rsidRPr="00BD5DEC">
              <w:rPr>
                <w:rFonts w:cs="Times New Roman"/>
                <w:szCs w:val="24"/>
              </w:rPr>
              <w:t xml:space="preserve"> Útleiga hjá tí almenna ella løgfrøðiligum persónum er eftir hesi lóg at rokna sum vinnulig útleiga.</w:t>
            </w:r>
          </w:p>
          <w:p w:rsidR="00556429" w:rsidRPr="00BD5DEC" w:rsidRDefault="00556429" w:rsidP="00BD5DEC">
            <w:pPr>
              <w:rPr>
                <w:rFonts w:cs="Times New Roman"/>
                <w:szCs w:val="24"/>
                <w:lang w:val="da-DK"/>
              </w:rPr>
            </w:pPr>
          </w:p>
        </w:tc>
      </w:tr>
      <w:tr w:rsidR="00B56167" w:rsidTr="003A6690">
        <w:tc>
          <w:tcPr>
            <w:tcW w:w="4508" w:type="dxa"/>
          </w:tcPr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b/>
                <w:bCs/>
                <w:szCs w:val="24"/>
              </w:rPr>
              <w:t>§ 24 b.</w:t>
            </w:r>
            <w:r w:rsidRPr="00BD5DEC">
              <w:rPr>
                <w:rFonts w:cs="Times New Roman"/>
                <w:szCs w:val="24"/>
              </w:rPr>
              <w:t xml:space="preserve"> Almannaverkið hevur ávísingarrætt til í minsta lagi 5. hvørja leiguíbúð í almennum bústaðafelagi.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2.</w:t>
            </w:r>
            <w:r w:rsidRPr="00BD5DEC">
              <w:rPr>
                <w:rFonts w:cs="Times New Roman"/>
                <w:szCs w:val="24"/>
              </w:rPr>
              <w:t xml:space="preserve"> Landsstýrismaðurin ásetir nærri reglur um, nær talan er um </w:t>
            </w:r>
            <w:proofErr w:type="spellStart"/>
            <w:r w:rsidRPr="00BD5DEC">
              <w:rPr>
                <w:rFonts w:cs="Times New Roman"/>
                <w:szCs w:val="24"/>
              </w:rPr>
              <w:t>bústaðarsosial</w:t>
            </w:r>
            <w:proofErr w:type="spellEnd"/>
            <w:r w:rsidRPr="00BD5DEC">
              <w:rPr>
                <w:rFonts w:cs="Times New Roman"/>
                <w:szCs w:val="24"/>
              </w:rPr>
              <w:t xml:space="preserve"> endamál.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3</w:t>
            </w:r>
            <w:r w:rsidRPr="00BD5DEC">
              <w:rPr>
                <w:rFonts w:cs="Times New Roman"/>
                <w:szCs w:val="24"/>
              </w:rPr>
              <w:t xml:space="preserve">. Ávísing sambært stk. 1 skal taka atlit at tørvi borgarans, og hvussu </w:t>
            </w:r>
            <w:proofErr w:type="spellStart"/>
            <w:r w:rsidRPr="00BD5DEC">
              <w:rPr>
                <w:rFonts w:cs="Times New Roman"/>
                <w:szCs w:val="24"/>
              </w:rPr>
              <w:t>leigaraskarin</w:t>
            </w:r>
            <w:proofErr w:type="spellEnd"/>
            <w:r w:rsidRPr="00BD5DEC">
              <w:rPr>
                <w:rFonts w:cs="Times New Roman"/>
                <w:szCs w:val="24"/>
              </w:rPr>
              <w:t xml:space="preserve"> annars er samansettur.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4</w:t>
            </w:r>
            <w:r w:rsidRPr="00BD5DEC">
              <w:rPr>
                <w:rFonts w:cs="Times New Roman"/>
                <w:szCs w:val="24"/>
              </w:rPr>
              <w:t xml:space="preserve">. Almannaverkið rindar húsaleigu frá tí degi, at leigumálið er tøkt og fram til, at leigarin yvirtekur leigumálið. 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lastRenderedPageBreak/>
              <w:t>Stk. 5.</w:t>
            </w:r>
            <w:r w:rsidRPr="00BD5DEC">
              <w:rPr>
                <w:rFonts w:cs="Times New Roman"/>
                <w:szCs w:val="24"/>
              </w:rPr>
              <w:t xml:space="preserve"> Almannaverkið svarar fyri ábyrgd leigarans mótvegis útleigara í mun til at lata hølini aftur í sama standi, sum tey vóru í, tá ið leiguavtalan byrjaði, sbr. § 12, nr. 4. Ábyrgd Almannaverksins tekur við, tá ið almenna bústaðafelagið til fánýtis hevur kravt leigara eftir peninginum. Almannaverkið kann síðan heinta peningin inn frá viðkomandi leigara. 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</w:t>
            </w:r>
            <w:r w:rsidRPr="00BD5DEC">
              <w:rPr>
                <w:rFonts w:cs="Times New Roman"/>
                <w:szCs w:val="24"/>
              </w:rPr>
              <w:t xml:space="preserve"> </w:t>
            </w:r>
            <w:r w:rsidRPr="00BD5DEC">
              <w:rPr>
                <w:rFonts w:cs="Times New Roman"/>
                <w:i/>
                <w:iCs/>
                <w:szCs w:val="24"/>
              </w:rPr>
              <w:t>6.</w:t>
            </w:r>
            <w:r w:rsidRPr="00BD5DEC">
              <w:rPr>
                <w:rFonts w:cs="Times New Roman"/>
                <w:szCs w:val="24"/>
              </w:rPr>
              <w:t xml:space="preserve"> Útreiðslur sambært stk. 4 og 5 verða avhildnar umvegis forsorgarlógina.</w:t>
            </w:r>
          </w:p>
          <w:p w:rsidR="00B56167" w:rsidRPr="00BD5DEC" w:rsidRDefault="00B56167" w:rsidP="00BD5DEC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</w:tcPr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b/>
                <w:bCs/>
                <w:szCs w:val="24"/>
              </w:rPr>
              <w:lastRenderedPageBreak/>
              <w:t>§ 24 b.</w:t>
            </w:r>
            <w:r w:rsidRPr="00BD5DEC">
              <w:rPr>
                <w:rFonts w:cs="Times New Roman"/>
                <w:szCs w:val="24"/>
              </w:rPr>
              <w:t xml:space="preserve"> Almannaverkið hevur ávísingarrætt til í minsta lagi 5. hvørja leiguíbúð í almennum bústaðafelagi.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2.</w:t>
            </w:r>
            <w:r w:rsidRPr="00BD5DEC">
              <w:rPr>
                <w:rFonts w:cs="Times New Roman"/>
                <w:szCs w:val="24"/>
              </w:rPr>
              <w:t xml:space="preserve"> Landsstýrismaðurin ásetir nærri reglur um, nær talan er um </w:t>
            </w:r>
            <w:proofErr w:type="spellStart"/>
            <w:r w:rsidRPr="00BD5DEC">
              <w:rPr>
                <w:rFonts w:cs="Times New Roman"/>
                <w:szCs w:val="24"/>
              </w:rPr>
              <w:t>bústaðarsosial</w:t>
            </w:r>
            <w:proofErr w:type="spellEnd"/>
            <w:r w:rsidRPr="00BD5DEC">
              <w:rPr>
                <w:rFonts w:cs="Times New Roman"/>
                <w:szCs w:val="24"/>
              </w:rPr>
              <w:t xml:space="preserve"> endamál.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3</w:t>
            </w:r>
            <w:r w:rsidRPr="00BD5DEC">
              <w:rPr>
                <w:rFonts w:cs="Times New Roman"/>
                <w:szCs w:val="24"/>
              </w:rPr>
              <w:t xml:space="preserve">. Ávísing sambært stk. 1 skal taka atlit at tørvi borgarans, og hvussu </w:t>
            </w:r>
            <w:proofErr w:type="spellStart"/>
            <w:r w:rsidRPr="00BD5DEC">
              <w:rPr>
                <w:rFonts w:cs="Times New Roman"/>
                <w:szCs w:val="24"/>
              </w:rPr>
              <w:t>leigaraskarin</w:t>
            </w:r>
            <w:proofErr w:type="spellEnd"/>
            <w:r w:rsidRPr="00BD5DEC">
              <w:rPr>
                <w:rFonts w:cs="Times New Roman"/>
                <w:szCs w:val="24"/>
              </w:rPr>
              <w:t xml:space="preserve"> annars er samansettur.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4</w:t>
            </w:r>
            <w:r w:rsidRPr="00BD5DEC">
              <w:rPr>
                <w:rFonts w:cs="Times New Roman"/>
                <w:szCs w:val="24"/>
              </w:rPr>
              <w:t xml:space="preserve">. Almannaverkið rindar húsaleigu frá tí degi, at leigumálið er tøkt og fram til, at leigarin yvirtekur leigumálið. 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lastRenderedPageBreak/>
              <w:t>Stk. 5.</w:t>
            </w:r>
            <w:r w:rsidRPr="00BD5DEC">
              <w:rPr>
                <w:rFonts w:cs="Times New Roman"/>
                <w:szCs w:val="24"/>
              </w:rPr>
              <w:t xml:space="preserve"> Almannaverkið svarar fyri ábyrgd leigarans mótvegis útleigara í mun til at lata hølini aftur í sama standi, sum tey vóru í, tá ið leiguavtalan byrjaði, sbr. § 12, nr. 4. Ábyrgd Almannaverksins tekur við, tá ið almenna bústaðafelagið til fánýtis hevur kravt leigara eftir peninginum. Almannaverkið kann síðan heinta peningin inn frá viðkomandi leigara. </w:t>
            </w:r>
          </w:p>
          <w:p w:rsidR="00BD5DEC" w:rsidRPr="00BD5DEC" w:rsidRDefault="00BD5DEC" w:rsidP="00B56167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</w:t>
            </w:r>
            <w:r w:rsidRPr="00BD5DEC">
              <w:rPr>
                <w:rFonts w:cs="Times New Roman"/>
                <w:szCs w:val="24"/>
              </w:rPr>
              <w:t xml:space="preserve"> </w:t>
            </w:r>
            <w:r w:rsidRPr="00BD5DEC">
              <w:rPr>
                <w:rFonts w:cs="Times New Roman"/>
                <w:i/>
                <w:iCs/>
                <w:szCs w:val="24"/>
              </w:rPr>
              <w:t>6.</w:t>
            </w:r>
            <w:r w:rsidRPr="00BD5DEC">
              <w:rPr>
                <w:rFonts w:cs="Times New Roman"/>
                <w:szCs w:val="24"/>
              </w:rPr>
              <w:t xml:space="preserve"> Útreiðslur sambært stk. 4 og 5 verða avhildnar umvegis forsorgarlógina.</w:t>
            </w:r>
          </w:p>
          <w:p w:rsidR="00B56167" w:rsidRPr="00BD5DEC" w:rsidRDefault="00B56167" w:rsidP="00B56167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b/>
                <w:i/>
                <w:szCs w:val="24"/>
              </w:rPr>
              <w:t>Stk. 7.</w:t>
            </w:r>
            <w:r w:rsidRPr="00BD5DEC">
              <w:rPr>
                <w:rFonts w:cs="Times New Roman"/>
                <w:i/>
                <w:szCs w:val="24"/>
              </w:rPr>
              <w:t xml:space="preserve"> </w:t>
            </w:r>
            <w:r w:rsidRPr="00BD5DEC">
              <w:rPr>
                <w:rFonts w:cs="Times New Roman"/>
                <w:b/>
                <w:szCs w:val="24"/>
              </w:rPr>
              <w:t>Almannaverkið kann eisini, eftir somu treytum sum í stk. 2-6, gera avtalur við privatar útleigarar um ávísingarrætt til leiguíbúðir. Avtalur um ávísingarrætt skulu góðkennast av landsstýrismanninum.</w:t>
            </w:r>
          </w:p>
          <w:p w:rsidR="00B56167" w:rsidRPr="00BD5DEC" w:rsidRDefault="00B56167" w:rsidP="00B56167">
            <w:pPr>
              <w:rPr>
                <w:rFonts w:cs="Times New Roman"/>
                <w:szCs w:val="24"/>
              </w:rPr>
            </w:pPr>
          </w:p>
        </w:tc>
      </w:tr>
      <w:tr w:rsidR="00BE686A" w:rsidTr="003A6690">
        <w:tc>
          <w:tcPr>
            <w:tcW w:w="4508" w:type="dxa"/>
          </w:tcPr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b/>
                <w:bCs/>
                <w:szCs w:val="24"/>
              </w:rPr>
              <w:lastRenderedPageBreak/>
              <w:t>§ 26.</w:t>
            </w:r>
            <w:bookmarkStart w:id="0" w:name="_ednref1"/>
            <w:r w:rsidRPr="00BD5DEC">
              <w:rPr>
                <w:rFonts w:cs="Times New Roman"/>
                <w:szCs w:val="24"/>
              </w:rPr>
              <w:t xml:space="preserve"> Leigunevndin kann viðgera kærur frá pørtunum um: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Ein møgulig hækking av leiguni er rímilig, og kann heilt ella lutvíst strika hesa hækking.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Leigaðu hølini lúka ásett krøv til bústað, sambært § 9, og kann í hesum sambandi áleggja útleigara at gera neyðugar umvælingar.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Rættin og skyldur hjá útleigara at fremja viðlíkahald og gera ábøtur, sambært §§ 9 og 10.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 xml:space="preserve">Grundarlagið fyri </w:t>
            </w:r>
            <w:bookmarkStart w:id="1" w:name="_GoBack"/>
            <w:bookmarkEnd w:id="1"/>
            <w:r w:rsidRPr="00BD5DEC">
              <w:rPr>
                <w:rFonts w:cs="Times New Roman"/>
                <w:szCs w:val="24"/>
              </w:rPr>
              <w:t>uppsøgn av leiguavtalu, og kann seta ólógliga uppsøgn úr gildi.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Grundarlagið fyri at ógilda leiguavtalu vegna mishald útleigarans.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Rætt hjá útleigara at halda aftur depositum.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2</w:t>
            </w:r>
            <w:r w:rsidRPr="00BD5DEC">
              <w:rPr>
                <w:rFonts w:cs="Times New Roman"/>
                <w:szCs w:val="24"/>
              </w:rPr>
              <w:t xml:space="preserve">. Leigunevndin skal góðkenna uppsøgn ella ógildan av leiguavtalu vegna mishald leigarans sambært § 11, stk. 3 og sbr. § 24, stk. 3 eins og leigunevndin skal góðkenna, at útleigari gevur leigara ávaring ella ger leiguavtalu treytaða vegna mishald, sbr. § 24, stk. 3. 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3</w:t>
            </w:r>
            <w:r w:rsidRPr="00BD5DEC">
              <w:rPr>
                <w:rFonts w:cs="Times New Roman"/>
                <w:szCs w:val="24"/>
              </w:rPr>
              <w:t xml:space="preserve">. Leigunevndin kann viðgera kæru frá leigara um leigumál, ið ikki lýkur lógarásett krøv til bústað, sambært § 9 eftir, at leigari er fluttur út úr leigubústaðnum. Kæran skal tó vera leigunevndini í hendi fyri </w:t>
            </w:r>
            <w:r w:rsidRPr="00BD5DEC">
              <w:rPr>
                <w:rFonts w:cs="Times New Roman"/>
                <w:szCs w:val="24"/>
              </w:rPr>
              <w:lastRenderedPageBreak/>
              <w:t>uppsagnarfreist leigarans ella útleigarans er úti.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4.</w:t>
            </w:r>
            <w:bookmarkEnd w:id="0"/>
            <w:r w:rsidRPr="00BD5DEC">
              <w:rPr>
                <w:rFonts w:cs="Times New Roman"/>
                <w:szCs w:val="24"/>
              </w:rPr>
              <w:t xml:space="preserve"> Kærur til leigunevndina skulu vera skrivligar og hava eina grundgeving fyri kæruni.</w:t>
            </w:r>
          </w:p>
          <w:p w:rsidR="00BE686A" w:rsidRPr="00BD5DEC" w:rsidRDefault="00BE686A" w:rsidP="00BD5DEC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</w:tcPr>
          <w:p w:rsidR="00BE686A" w:rsidRPr="00BE686A" w:rsidRDefault="00BE686A" w:rsidP="00BE68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§ 26. </w:t>
            </w:r>
            <w:r>
              <w:rPr>
                <w:rFonts w:cs="Times New Roman"/>
                <w:szCs w:val="24"/>
              </w:rPr>
              <w:t>Leigunevndin kann viðgera kærur frá pørtunum um:</w:t>
            </w:r>
          </w:p>
          <w:p w:rsidR="00BE686A" w:rsidRDefault="00BE686A" w:rsidP="00BE686A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b/>
                <w:szCs w:val="24"/>
              </w:rPr>
            </w:pPr>
            <w:r w:rsidRPr="00BE686A">
              <w:rPr>
                <w:rFonts w:cs="Times New Roman"/>
                <w:b/>
                <w:szCs w:val="24"/>
              </w:rPr>
              <w:t>Ta leigu, sum partarnir sínámillum hava avtalað, seta til viks eina greitt órímiliga leigu og samstundis áseta aðra leigu.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Ein møgulig hækking av leiguni er rímilig, og kann heilt ella lutvíst strika hesa hækking.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Leigaðu hølini lúka ásett krøv til bústað, sambært § 9, og kann í hesum sambandi áleggja útleigara at gera neyðugar umvælingar.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Rættin og skyldur hjá útleigara at fremja viðlíkahald og gera ábøtur, sambært §§ 9 og 10.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Grundarlagið fyri uppsøgn av leiguavtalu, og kann seta ólógliga uppsøgn úr gildi.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Grundarlagið fyri at ógilda leiguavtalu vegna mishald útleigarans.</w:t>
            </w:r>
          </w:p>
          <w:p w:rsidR="00BD5DEC" w:rsidRPr="00BD5DEC" w:rsidRDefault="00BD5DEC" w:rsidP="00BD5DEC">
            <w:pPr>
              <w:pStyle w:val="Listeafsnit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szCs w:val="24"/>
              </w:rPr>
              <w:t>Rætt hjá útleigara at halda aftur depositum.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2</w:t>
            </w:r>
            <w:r w:rsidRPr="00BD5DEC">
              <w:rPr>
                <w:rFonts w:cs="Times New Roman"/>
                <w:szCs w:val="24"/>
              </w:rPr>
              <w:t xml:space="preserve">. Leigunevndin skal góðkenna uppsøgn ella ógildan av leiguavtalu vegna mishald leigarans sambært § 11, stk. 3 og sbr. § 24, stk. 3 eins og leigunevndin skal góðkenna, at útleigari gevur leigara ávaring ella ger leiguavtalu treytaða vegna mishald, sbr. § 24, stk. 3. 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lastRenderedPageBreak/>
              <w:t>Stk. 3</w:t>
            </w:r>
            <w:r w:rsidRPr="00BD5DEC">
              <w:rPr>
                <w:rFonts w:cs="Times New Roman"/>
                <w:szCs w:val="24"/>
              </w:rPr>
              <w:t xml:space="preserve">. Leigunevndin kann viðgera kæru frá leigara um leigumál, ið ikki lýkur lógarásett krøv til bústað, sambært § 9 eftir, at leigari er fluttur út úr leigubústaðnum. Kæran skal tó </w:t>
            </w:r>
            <w:r>
              <w:rPr>
                <w:rFonts w:cs="Times New Roman"/>
                <w:szCs w:val="24"/>
              </w:rPr>
              <w:t xml:space="preserve">vera leigunevndini í hendi fyri </w:t>
            </w:r>
            <w:r w:rsidRPr="00BD5DEC">
              <w:rPr>
                <w:rFonts w:cs="Times New Roman"/>
                <w:szCs w:val="24"/>
              </w:rPr>
              <w:t>uppsagnarfreist leigarans ella útleigarans er úti.</w:t>
            </w:r>
          </w:p>
          <w:p w:rsidR="00BD5DEC" w:rsidRPr="00BD5DEC" w:rsidRDefault="00BD5DEC" w:rsidP="00BD5DEC">
            <w:pPr>
              <w:rPr>
                <w:rFonts w:cs="Times New Roman"/>
                <w:szCs w:val="24"/>
              </w:rPr>
            </w:pPr>
            <w:r w:rsidRPr="00BD5DEC">
              <w:rPr>
                <w:rFonts w:cs="Times New Roman"/>
                <w:i/>
                <w:iCs/>
                <w:szCs w:val="24"/>
              </w:rPr>
              <w:t>Stk. 4.</w:t>
            </w:r>
            <w:r w:rsidRPr="00BD5DEC">
              <w:rPr>
                <w:rFonts w:cs="Times New Roman"/>
                <w:szCs w:val="24"/>
              </w:rPr>
              <w:t xml:space="preserve"> Kærur til leigunevndina skulu vera skrivligar og hava eina grundgeving fyri kæruni.</w:t>
            </w:r>
          </w:p>
          <w:p w:rsidR="00BD5DEC" w:rsidRPr="00BD5DEC" w:rsidRDefault="00BD5DEC" w:rsidP="00BD5DEC">
            <w:pPr>
              <w:pStyle w:val="Listeafsnit"/>
              <w:rPr>
                <w:rFonts w:cs="Times New Roman"/>
                <w:szCs w:val="24"/>
              </w:rPr>
            </w:pPr>
          </w:p>
          <w:p w:rsidR="00BE686A" w:rsidRPr="00BE686A" w:rsidRDefault="00BE686A" w:rsidP="00BD5D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7E6DF4" w:rsidRPr="00985567" w:rsidRDefault="007E6DF4" w:rsidP="003A6690">
      <w:pPr>
        <w:spacing w:after="0"/>
        <w:rPr>
          <w:rFonts w:cs="Times New Roman"/>
          <w:szCs w:val="24"/>
        </w:rPr>
      </w:pPr>
    </w:p>
    <w:sectPr w:rsidR="007E6DF4" w:rsidRPr="00985567" w:rsidSect="00296BF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F8" w:rsidRDefault="00C234F8" w:rsidP="003A5FF5">
      <w:pPr>
        <w:spacing w:after="0"/>
      </w:pPr>
      <w:r>
        <w:separator/>
      </w:r>
    </w:p>
  </w:endnote>
  <w:endnote w:type="continuationSeparator" w:id="0">
    <w:p w:rsidR="00C234F8" w:rsidRDefault="00C234F8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37999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:rsidR="00882164" w:rsidRPr="00882164" w:rsidRDefault="00882164">
            <w:pPr>
              <w:pStyle w:val="Sidefod"/>
              <w:jc w:val="center"/>
              <w:rPr>
                <w:szCs w:val="24"/>
              </w:rPr>
            </w:pPr>
            <w:r w:rsidRPr="00882164">
              <w:rPr>
                <w:bCs/>
                <w:szCs w:val="24"/>
              </w:rPr>
              <w:fldChar w:fldCharType="begin"/>
            </w:r>
            <w:r w:rsidRPr="00882164">
              <w:rPr>
                <w:bCs/>
                <w:szCs w:val="24"/>
              </w:rPr>
              <w:instrText>PAGE</w:instrText>
            </w:r>
            <w:r w:rsidRPr="00882164">
              <w:rPr>
                <w:bCs/>
                <w:szCs w:val="24"/>
              </w:rPr>
              <w:fldChar w:fldCharType="separate"/>
            </w:r>
            <w:r w:rsidR="00BD5DEC">
              <w:rPr>
                <w:bCs/>
                <w:noProof/>
                <w:szCs w:val="24"/>
              </w:rPr>
              <w:t>3</w:t>
            </w:r>
            <w:r w:rsidRPr="00882164">
              <w:rPr>
                <w:bCs/>
                <w:szCs w:val="24"/>
              </w:rPr>
              <w:fldChar w:fldCharType="end"/>
            </w:r>
            <w:r w:rsidRPr="00882164">
              <w:rPr>
                <w:szCs w:val="24"/>
                <w:lang w:val="da-DK"/>
              </w:rPr>
              <w:t xml:space="preserve"> / </w:t>
            </w:r>
            <w:r w:rsidRPr="00882164">
              <w:rPr>
                <w:bCs/>
                <w:szCs w:val="24"/>
              </w:rPr>
              <w:fldChar w:fldCharType="begin"/>
            </w:r>
            <w:r w:rsidRPr="00882164">
              <w:rPr>
                <w:bCs/>
                <w:szCs w:val="24"/>
              </w:rPr>
              <w:instrText>NUMPAGES</w:instrText>
            </w:r>
            <w:r w:rsidRPr="00882164">
              <w:rPr>
                <w:bCs/>
                <w:szCs w:val="24"/>
              </w:rPr>
              <w:fldChar w:fldCharType="separate"/>
            </w:r>
            <w:r w:rsidR="00BD5DEC">
              <w:rPr>
                <w:bCs/>
                <w:noProof/>
                <w:szCs w:val="24"/>
              </w:rPr>
              <w:t>3</w:t>
            </w:r>
            <w:r w:rsidRPr="00882164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882164" w:rsidRDefault="00882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F8" w:rsidRDefault="00C234F8" w:rsidP="003A5FF5">
      <w:pPr>
        <w:spacing w:after="0"/>
      </w:pPr>
      <w:r>
        <w:separator/>
      </w:r>
    </w:p>
  </w:footnote>
  <w:footnote w:type="continuationSeparator" w:id="0">
    <w:p w:rsidR="00C234F8" w:rsidRDefault="00C234F8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5CD"/>
    <w:multiLevelType w:val="hybridMultilevel"/>
    <w:tmpl w:val="F55A1D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5B60"/>
    <w:multiLevelType w:val="hybridMultilevel"/>
    <w:tmpl w:val="452892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5700B"/>
    <w:multiLevelType w:val="hybridMultilevel"/>
    <w:tmpl w:val="4236A25E"/>
    <w:lvl w:ilvl="0" w:tplc="FC805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65DF0"/>
    <w:multiLevelType w:val="hybridMultilevel"/>
    <w:tmpl w:val="452892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33C2"/>
    <w:multiLevelType w:val="hybridMultilevel"/>
    <w:tmpl w:val="CC0C999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9"/>
    <w:rsid w:val="00000BEA"/>
    <w:rsid w:val="00010CB1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560AE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24D6"/>
    <w:rsid w:val="002514DB"/>
    <w:rsid w:val="0025385F"/>
    <w:rsid w:val="00255773"/>
    <w:rsid w:val="00264D63"/>
    <w:rsid w:val="00296BFA"/>
    <w:rsid w:val="002B1F15"/>
    <w:rsid w:val="002C2A21"/>
    <w:rsid w:val="002C45C7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A312A"/>
    <w:rsid w:val="003A39E2"/>
    <w:rsid w:val="003A43FF"/>
    <w:rsid w:val="003A5FF5"/>
    <w:rsid w:val="003A6690"/>
    <w:rsid w:val="003A716C"/>
    <w:rsid w:val="003B44DD"/>
    <w:rsid w:val="003D385E"/>
    <w:rsid w:val="003E0D87"/>
    <w:rsid w:val="003F21D5"/>
    <w:rsid w:val="004039D6"/>
    <w:rsid w:val="0040470F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92EB4"/>
    <w:rsid w:val="00495299"/>
    <w:rsid w:val="004A178F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56429"/>
    <w:rsid w:val="005636BE"/>
    <w:rsid w:val="00566880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56DB8"/>
    <w:rsid w:val="006642ED"/>
    <w:rsid w:val="00671ABB"/>
    <w:rsid w:val="006754FD"/>
    <w:rsid w:val="006855F3"/>
    <w:rsid w:val="00692307"/>
    <w:rsid w:val="006944BF"/>
    <w:rsid w:val="006A052D"/>
    <w:rsid w:val="006A4126"/>
    <w:rsid w:val="006A758C"/>
    <w:rsid w:val="006D3E3B"/>
    <w:rsid w:val="006E2D6E"/>
    <w:rsid w:val="00702DB3"/>
    <w:rsid w:val="007038B8"/>
    <w:rsid w:val="007315C0"/>
    <w:rsid w:val="00745D4A"/>
    <w:rsid w:val="00746B18"/>
    <w:rsid w:val="0076665D"/>
    <w:rsid w:val="00770A17"/>
    <w:rsid w:val="00771B25"/>
    <w:rsid w:val="0077428F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23533"/>
    <w:rsid w:val="00823566"/>
    <w:rsid w:val="00834A49"/>
    <w:rsid w:val="00841D5A"/>
    <w:rsid w:val="008457DE"/>
    <w:rsid w:val="008470A3"/>
    <w:rsid w:val="008538D7"/>
    <w:rsid w:val="00871900"/>
    <w:rsid w:val="00876D2D"/>
    <w:rsid w:val="00882164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406F8"/>
    <w:rsid w:val="00973742"/>
    <w:rsid w:val="00983448"/>
    <w:rsid w:val="00985567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16870"/>
    <w:rsid w:val="00A17140"/>
    <w:rsid w:val="00A21E2A"/>
    <w:rsid w:val="00A34211"/>
    <w:rsid w:val="00A50498"/>
    <w:rsid w:val="00A53AF7"/>
    <w:rsid w:val="00A54D65"/>
    <w:rsid w:val="00A576ED"/>
    <w:rsid w:val="00A577CF"/>
    <w:rsid w:val="00A65B90"/>
    <w:rsid w:val="00A70253"/>
    <w:rsid w:val="00A73EA1"/>
    <w:rsid w:val="00A82321"/>
    <w:rsid w:val="00A9350B"/>
    <w:rsid w:val="00AA09DA"/>
    <w:rsid w:val="00AA1EF6"/>
    <w:rsid w:val="00AA4164"/>
    <w:rsid w:val="00AA77E9"/>
    <w:rsid w:val="00AC07AB"/>
    <w:rsid w:val="00AD04B2"/>
    <w:rsid w:val="00AE05B4"/>
    <w:rsid w:val="00AE48A0"/>
    <w:rsid w:val="00AE73BD"/>
    <w:rsid w:val="00AE7CAB"/>
    <w:rsid w:val="00AF0DF5"/>
    <w:rsid w:val="00AF7B57"/>
    <w:rsid w:val="00B21AD0"/>
    <w:rsid w:val="00B313F2"/>
    <w:rsid w:val="00B40416"/>
    <w:rsid w:val="00B5206A"/>
    <w:rsid w:val="00B56167"/>
    <w:rsid w:val="00B62CFD"/>
    <w:rsid w:val="00B87D42"/>
    <w:rsid w:val="00B90291"/>
    <w:rsid w:val="00B933A3"/>
    <w:rsid w:val="00BB6385"/>
    <w:rsid w:val="00BC43C2"/>
    <w:rsid w:val="00BD2CAA"/>
    <w:rsid w:val="00BD5DEC"/>
    <w:rsid w:val="00BE22CB"/>
    <w:rsid w:val="00BE2E33"/>
    <w:rsid w:val="00BE5D35"/>
    <w:rsid w:val="00BE686A"/>
    <w:rsid w:val="00BF333D"/>
    <w:rsid w:val="00BF69A4"/>
    <w:rsid w:val="00C02A7D"/>
    <w:rsid w:val="00C07723"/>
    <w:rsid w:val="00C10B7B"/>
    <w:rsid w:val="00C15BAD"/>
    <w:rsid w:val="00C16F07"/>
    <w:rsid w:val="00C234F8"/>
    <w:rsid w:val="00C31DD2"/>
    <w:rsid w:val="00C33DD2"/>
    <w:rsid w:val="00C4281B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56F25"/>
    <w:rsid w:val="00D601A5"/>
    <w:rsid w:val="00D725B9"/>
    <w:rsid w:val="00D77BA6"/>
    <w:rsid w:val="00D857F0"/>
    <w:rsid w:val="00D90E8D"/>
    <w:rsid w:val="00D9285B"/>
    <w:rsid w:val="00D96E70"/>
    <w:rsid w:val="00D97232"/>
    <w:rsid w:val="00DA32B2"/>
    <w:rsid w:val="00DB5CCE"/>
    <w:rsid w:val="00DF446B"/>
    <w:rsid w:val="00E13791"/>
    <w:rsid w:val="00E20280"/>
    <w:rsid w:val="00E435CB"/>
    <w:rsid w:val="00E50744"/>
    <w:rsid w:val="00E531C5"/>
    <w:rsid w:val="00E91105"/>
    <w:rsid w:val="00E91F9E"/>
    <w:rsid w:val="00E97352"/>
    <w:rsid w:val="00EA1B3E"/>
    <w:rsid w:val="00EA5003"/>
    <w:rsid w:val="00EB2650"/>
    <w:rsid w:val="00EC2245"/>
    <w:rsid w:val="00ED7A20"/>
    <w:rsid w:val="00F110D7"/>
    <w:rsid w:val="00F1615D"/>
    <w:rsid w:val="00F2565F"/>
    <w:rsid w:val="00F36633"/>
    <w:rsid w:val="00F478DE"/>
    <w:rsid w:val="00F538C3"/>
    <w:rsid w:val="00F82BF5"/>
    <w:rsid w:val="00F905C6"/>
    <w:rsid w:val="00FA2AA0"/>
    <w:rsid w:val="00FB26B2"/>
    <w:rsid w:val="00FB643C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4080CC"/>
  <w15:chartTrackingRefBased/>
  <w15:docId w15:val="{9969463F-59B8-4CBC-9129-CB09235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D5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1B12-9719-4486-A414-7FD877B0624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3</ap:Pages>
  <ap:Words>766</ap:Words>
  <ap:Characters>4676</ap:Characters>
  <ap:Application>Microsoft Office Word</ap:Application>
  <ap:DocSecurity>0</ap:DocSecurity>
  <ap:Lines>38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Javntekstur</vt:lpstr>
    </vt:vector>
  </ap:TitlesOfParts>
  <ap:Company>Lógatænastan</ap:Company>
  <ap:LinksUpToDate>false</ap:LinksUpToDate>
  <ap:CharactersWithSpaces>5432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Javntekstur</dc:title>
  <dc:subject>Javntekstur</dc:subject>
  <dc:creator>Jákup Andrias Kristiansen</dc:creator>
  <cp:keywords>2. útgáva - november 2017</cp:keywords>
  <dc:description>Javntekstur 1. útgáva - november 2017</dc:description>
  <cp:lastModifiedBy>Jákup Andrias Kristiansen</cp:lastModifiedBy>
  <cp:revision>3</cp:revision>
  <cp:lastPrinted>2016-03-15T10:55:00Z</cp:lastPrinted>
  <dcterms:created xsi:type="dcterms:W3CDTF">2018-12-18T09:56:00Z</dcterms:created>
  <dcterms:modified xsi:type="dcterms:W3CDTF">2018-12-18T10:03:00Z</dcterms:modified>
  <cp:contentStatus>1. útgáva - mars 2016</cp:contentStatus>
</cp:coreProperties>
</file>